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862F9" w14:textId="77777777" w:rsidR="00F07718" w:rsidRPr="0048202D" w:rsidRDefault="001B05FF">
      <w:pPr>
        <w:pStyle w:val="Title"/>
        <w:jc w:val="left"/>
        <w:rPr>
          <w:rFonts w:ascii="Trebuchet MS" w:hAnsi="Trebuchet MS"/>
          <w:sz w:val="22"/>
          <w:szCs w:val="22"/>
        </w:rPr>
      </w:pPr>
      <w:r w:rsidRPr="0048202D">
        <w:rPr>
          <w:rFonts w:ascii="Trebuchet MS" w:hAnsi="Trebuchet MS"/>
          <w:sz w:val="22"/>
          <w:szCs w:val="22"/>
        </w:rPr>
        <w:t xml:space="preserve"> </w:t>
      </w:r>
    </w:p>
    <w:p w14:paraId="1509A222" w14:textId="77777777" w:rsidR="00120D76" w:rsidRPr="007E73E4" w:rsidRDefault="00120D76">
      <w:pPr>
        <w:pStyle w:val="Title"/>
        <w:jc w:val="left"/>
        <w:rPr>
          <w:sz w:val="22"/>
          <w:szCs w:val="22"/>
        </w:rPr>
      </w:pPr>
    </w:p>
    <w:p w14:paraId="2D9DA441" w14:textId="648189AF" w:rsidR="00F07718" w:rsidRDefault="00BD631A" w:rsidP="00A32AA7">
      <w:pPr>
        <w:pStyle w:val="Title"/>
        <w:rPr>
          <w:sz w:val="22"/>
          <w:szCs w:val="22"/>
        </w:rPr>
      </w:pPr>
      <w:r w:rsidRPr="007E73E4">
        <w:rPr>
          <w:sz w:val="22"/>
          <w:szCs w:val="22"/>
        </w:rPr>
        <w:t>NOTĂ DE  FUNDAMENTARE</w:t>
      </w:r>
    </w:p>
    <w:p w14:paraId="588BE85F" w14:textId="0A5E70A3" w:rsidR="007E73E4" w:rsidRDefault="007E73E4" w:rsidP="00A32AA7">
      <w:pPr>
        <w:pStyle w:val="Title"/>
        <w:rPr>
          <w:sz w:val="22"/>
          <w:szCs w:val="22"/>
        </w:rPr>
      </w:pPr>
    </w:p>
    <w:p w14:paraId="6413D4CF" w14:textId="77777777" w:rsidR="007E73E4" w:rsidRPr="007E73E4" w:rsidRDefault="007E73E4" w:rsidP="00A32AA7">
      <w:pPr>
        <w:pStyle w:val="Title"/>
        <w:rPr>
          <w:sz w:val="22"/>
          <w:szCs w:val="22"/>
        </w:rPr>
      </w:pPr>
    </w:p>
    <w:p w14:paraId="13B32A68" w14:textId="7D334F52" w:rsidR="00F07718" w:rsidRPr="007E73E4" w:rsidRDefault="00BD631A" w:rsidP="00A32AA7">
      <w:pPr>
        <w:pStyle w:val="Heading6"/>
        <w:rPr>
          <w:sz w:val="22"/>
          <w:szCs w:val="22"/>
        </w:rPr>
      </w:pPr>
      <w:r w:rsidRPr="007E73E4">
        <w:rPr>
          <w:sz w:val="22"/>
          <w:szCs w:val="22"/>
        </w:rPr>
        <w:t xml:space="preserve">    Secţiunea 1 Titlul proiectului de act normativ</w:t>
      </w:r>
    </w:p>
    <w:p w14:paraId="3476F174" w14:textId="77777777" w:rsidR="006551ED" w:rsidRPr="007E73E4" w:rsidRDefault="006551ED" w:rsidP="006551ED">
      <w:pPr>
        <w:rPr>
          <w:sz w:val="22"/>
          <w:szCs w:val="22"/>
        </w:rPr>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8202D" w:rsidRPr="007E73E4" w14:paraId="3C48847C" w14:textId="77777777" w:rsidTr="00F45905">
        <w:tc>
          <w:tcPr>
            <w:tcW w:w="10206" w:type="dxa"/>
          </w:tcPr>
          <w:p w14:paraId="5B6E949F" w14:textId="7B6BF489" w:rsidR="00865FE9" w:rsidRPr="007E73E4" w:rsidRDefault="00C74A16" w:rsidP="00865FE9">
            <w:pPr>
              <w:jc w:val="both"/>
              <w:rPr>
                <w:b/>
                <w:sz w:val="22"/>
                <w:szCs w:val="22"/>
                <w:lang w:eastAsia="ro-RO"/>
              </w:rPr>
            </w:pPr>
            <w:bookmarkStart w:id="0" w:name="_Hlk67564162"/>
            <w:r w:rsidRPr="007E73E4">
              <w:rPr>
                <w:rStyle w:val="do1"/>
                <w:b w:val="0"/>
                <w:sz w:val="22"/>
                <w:szCs w:val="22"/>
              </w:rPr>
              <w:t xml:space="preserve">Hotărâre pentru </w:t>
            </w:r>
            <w:r w:rsidR="00865FE9" w:rsidRPr="007E73E4">
              <w:rPr>
                <w:bCs/>
                <w:sz w:val="22"/>
                <w:szCs w:val="22"/>
                <w:lang w:eastAsia="ro-RO"/>
              </w:rPr>
              <w:t>completarea </w:t>
            </w:r>
            <w:r w:rsidR="00183977" w:rsidRPr="00183977">
              <w:rPr>
                <w:bCs/>
                <w:sz w:val="22"/>
                <w:szCs w:val="22"/>
                <w:lang w:eastAsia="ro-RO"/>
              </w:rPr>
              <w:t>art. 40 alin. (1) din Normele</w:t>
            </w:r>
            <w:r w:rsidR="00865FE9" w:rsidRPr="007E73E4">
              <w:rPr>
                <w:bCs/>
                <w:sz w:val="22"/>
                <w:szCs w:val="22"/>
                <w:lang w:eastAsia="ro-RO"/>
              </w:rPr>
              <w:t xml:space="preserve"> metodologice de aplicare a prevederilor </w:t>
            </w:r>
            <w:r w:rsidR="00065D59" w:rsidRPr="007E73E4">
              <w:rPr>
                <w:bCs/>
                <w:sz w:val="22"/>
                <w:szCs w:val="22"/>
                <w:lang w:eastAsia="ro-RO"/>
              </w:rPr>
              <w:t>Ordonanței</w:t>
            </w:r>
            <w:r w:rsidR="00865FE9" w:rsidRPr="007E73E4">
              <w:rPr>
                <w:bCs/>
                <w:sz w:val="22"/>
                <w:szCs w:val="22"/>
                <w:lang w:eastAsia="ro-RO"/>
              </w:rPr>
              <w:t xml:space="preserve"> de </w:t>
            </w:r>
            <w:r w:rsidR="00065D59" w:rsidRPr="007E73E4">
              <w:rPr>
                <w:bCs/>
                <w:sz w:val="22"/>
                <w:szCs w:val="22"/>
                <w:lang w:eastAsia="ro-RO"/>
              </w:rPr>
              <w:t>urgență</w:t>
            </w:r>
            <w:r w:rsidR="00865FE9" w:rsidRPr="007E73E4">
              <w:rPr>
                <w:bCs/>
                <w:sz w:val="22"/>
                <w:szCs w:val="22"/>
                <w:lang w:eastAsia="ro-RO"/>
              </w:rPr>
              <w:t xml:space="preserve"> a Guvernului nr. 40/2015 privind gestionarea financiară a fondurilor europene pentru perioada de programare 2014-2020, aprobate prin Hotărârea Guvernului nr. 93/201</w:t>
            </w:r>
            <w:r w:rsidR="00183977">
              <w:rPr>
                <w:bCs/>
                <w:sz w:val="22"/>
                <w:szCs w:val="22"/>
                <w:lang w:eastAsia="ro-RO"/>
              </w:rPr>
              <w:t>6</w:t>
            </w:r>
            <w:bookmarkEnd w:id="0"/>
          </w:p>
        </w:tc>
      </w:tr>
    </w:tbl>
    <w:p w14:paraId="450F5207" w14:textId="1B51720B" w:rsidR="00F07718" w:rsidRPr="007E73E4" w:rsidRDefault="00A32AA7">
      <w:pPr>
        <w:rPr>
          <w:sz w:val="22"/>
          <w:szCs w:val="22"/>
        </w:rPr>
      </w:pPr>
      <w:r w:rsidRPr="007E73E4">
        <w:rPr>
          <w:sz w:val="22"/>
          <w:szCs w:val="22"/>
        </w:rPr>
        <w:t xml:space="preserve"> </w:t>
      </w:r>
    </w:p>
    <w:p w14:paraId="1E90CD37" w14:textId="77777777" w:rsidR="006551ED" w:rsidRPr="007E73E4" w:rsidRDefault="006551ED">
      <w:pPr>
        <w:rPr>
          <w:sz w:val="22"/>
          <w:szCs w:val="22"/>
        </w:rPr>
      </w:pPr>
    </w:p>
    <w:p w14:paraId="77CAAD3B" w14:textId="77777777" w:rsidR="00BD631A" w:rsidRPr="007E73E4" w:rsidRDefault="00BD631A">
      <w:pPr>
        <w:rPr>
          <w:b/>
          <w:sz w:val="22"/>
          <w:szCs w:val="22"/>
        </w:rPr>
      </w:pPr>
      <w:r w:rsidRPr="007E73E4">
        <w:rPr>
          <w:b/>
          <w:sz w:val="22"/>
          <w:szCs w:val="22"/>
        </w:rPr>
        <w:t xml:space="preserve">   Secţiunea a 2-a  Motivul emiterii actului normativ</w:t>
      </w:r>
    </w:p>
    <w:p w14:paraId="3564B6B5" w14:textId="341D79D1" w:rsidR="00120D76" w:rsidRPr="007E73E4" w:rsidRDefault="00120D76">
      <w:pPr>
        <w:rPr>
          <w:b/>
          <w:sz w:val="22"/>
          <w:szCs w:val="22"/>
        </w:rPr>
      </w:pPr>
    </w:p>
    <w:p w14:paraId="69D721A9" w14:textId="77777777" w:rsidR="006551ED" w:rsidRPr="007E73E4" w:rsidRDefault="006551ED">
      <w:pPr>
        <w:rPr>
          <w:b/>
          <w:sz w:val="22"/>
          <w:szCs w:val="22"/>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2"/>
        <w:gridCol w:w="7825"/>
      </w:tblGrid>
      <w:tr w:rsidR="0048202D" w:rsidRPr="007E73E4" w14:paraId="31E67458" w14:textId="77777777" w:rsidTr="00132BC2">
        <w:tc>
          <w:tcPr>
            <w:tcW w:w="2372" w:type="dxa"/>
          </w:tcPr>
          <w:p w14:paraId="73C20469" w14:textId="77777777" w:rsidR="0021597C" w:rsidRPr="007E73E4" w:rsidRDefault="0021597C">
            <w:pPr>
              <w:pStyle w:val="BodyText2"/>
              <w:rPr>
                <w:sz w:val="22"/>
                <w:szCs w:val="22"/>
              </w:rPr>
            </w:pPr>
          </w:p>
          <w:p w14:paraId="753014FF" w14:textId="77777777" w:rsidR="00BD631A" w:rsidRPr="007E73E4" w:rsidRDefault="00BD631A" w:rsidP="00F45905">
            <w:pPr>
              <w:pStyle w:val="BodyText2"/>
              <w:jc w:val="left"/>
              <w:rPr>
                <w:sz w:val="22"/>
                <w:szCs w:val="22"/>
              </w:rPr>
            </w:pPr>
            <w:r w:rsidRPr="007E73E4">
              <w:rPr>
                <w:sz w:val="22"/>
                <w:szCs w:val="22"/>
              </w:rPr>
              <w:t>1.Descrierea situaţiei actuale</w:t>
            </w:r>
          </w:p>
        </w:tc>
        <w:tc>
          <w:tcPr>
            <w:tcW w:w="7825" w:type="dxa"/>
          </w:tcPr>
          <w:p w14:paraId="59671B91" w14:textId="326073DB" w:rsidR="00A02823" w:rsidRPr="00FD758C" w:rsidRDefault="00A02823" w:rsidP="001F5217">
            <w:pPr>
              <w:tabs>
                <w:tab w:val="left" w:pos="3960"/>
              </w:tabs>
              <w:spacing w:before="120" w:after="120"/>
              <w:jc w:val="both"/>
              <w:rPr>
                <w:bCs/>
                <w:sz w:val="22"/>
                <w:szCs w:val="22"/>
              </w:rPr>
            </w:pPr>
            <w:r w:rsidRPr="00FD758C">
              <w:rPr>
                <w:bCs/>
                <w:sz w:val="22"/>
                <w:szCs w:val="22"/>
              </w:rPr>
              <w:t xml:space="preserve">În data de 6 octombrie 2015 a intrat în vigoare Ordonanța de urgență a Guvernului nr. 40/2015 </w:t>
            </w:r>
            <w:r w:rsidRPr="00FD758C">
              <w:rPr>
                <w:bCs/>
                <w:i/>
                <w:sz w:val="22"/>
                <w:szCs w:val="22"/>
              </w:rPr>
              <w:t>privind gestionarea financiară a fondurilor europene pentru perioada de programare 2014-2020</w:t>
            </w:r>
            <w:r w:rsidRPr="00FD758C">
              <w:rPr>
                <w:bCs/>
                <w:sz w:val="22"/>
                <w:szCs w:val="22"/>
              </w:rPr>
              <w:t xml:space="preserve">, act normativ care reglementează gestiunea financiară a fondurilor europene (Fondul European de Dezvoltare Regională, Fondul European Social și Fondul de Coeziune) din care sunt finanțate următoarele programe operaționale: Programul Operațional Regional, Programul Operațional Asistență Tehnică, Programul Operațional Competitivitate, Programul Operațional Capital Uman, Programul Operațional Capacitatea Administrativă și Programul Operațional Infrastructură Mare, Programul Operațional pentru Ajutorarea Persoanelor Defavorizate. </w:t>
            </w:r>
          </w:p>
          <w:p w14:paraId="3FBEB601" w14:textId="1082408A" w:rsidR="00A02823" w:rsidRPr="00FD758C" w:rsidRDefault="00A02823" w:rsidP="001F5217">
            <w:pPr>
              <w:tabs>
                <w:tab w:val="left" w:pos="3960"/>
              </w:tabs>
              <w:spacing w:before="120" w:after="120"/>
              <w:jc w:val="both"/>
              <w:rPr>
                <w:bCs/>
                <w:sz w:val="22"/>
                <w:szCs w:val="22"/>
              </w:rPr>
            </w:pPr>
            <w:r w:rsidRPr="00FD758C">
              <w:rPr>
                <w:bCs/>
                <w:sz w:val="22"/>
                <w:szCs w:val="22"/>
              </w:rPr>
              <w:t xml:space="preserve">În februarie 2016, a fost aprobată Hotărârea Guvernului nr. 93/2016 emisă în baza dispozițiilor art. 31 din </w:t>
            </w:r>
            <w:r w:rsidR="00065D59" w:rsidRPr="00FD758C">
              <w:rPr>
                <w:bCs/>
                <w:sz w:val="22"/>
                <w:szCs w:val="22"/>
              </w:rPr>
              <w:t>Ordonanța</w:t>
            </w:r>
            <w:r w:rsidRPr="00FD758C">
              <w:rPr>
                <w:bCs/>
                <w:sz w:val="22"/>
                <w:szCs w:val="22"/>
              </w:rPr>
              <w:t xml:space="preserve"> de </w:t>
            </w:r>
            <w:r w:rsidR="00065D59" w:rsidRPr="00FD758C">
              <w:rPr>
                <w:bCs/>
                <w:sz w:val="22"/>
                <w:szCs w:val="22"/>
              </w:rPr>
              <w:t>urgență</w:t>
            </w:r>
            <w:r w:rsidRPr="00FD758C">
              <w:rPr>
                <w:bCs/>
                <w:sz w:val="22"/>
                <w:szCs w:val="22"/>
              </w:rPr>
              <w:t xml:space="preserve"> a Guvernului nr.</w:t>
            </w:r>
            <w:r w:rsidR="00065D59" w:rsidRPr="00FD758C">
              <w:rPr>
                <w:bCs/>
                <w:sz w:val="22"/>
                <w:szCs w:val="22"/>
              </w:rPr>
              <w:t xml:space="preserve"> </w:t>
            </w:r>
            <w:r w:rsidRPr="00FD758C">
              <w:rPr>
                <w:bCs/>
                <w:sz w:val="22"/>
                <w:szCs w:val="22"/>
              </w:rPr>
              <w:t>40/2015 privind gestionarea financiară a fondurilor europene pentru perioada de programare 2014-2020, aprobată cu modificări și completări prin Legea nr.105/2016, cu modificările şi completările ulterioare, conform căruia în termen de 45 de zile lucrătoare trebuie emise norme metodologice prin care să se detalieze măsurile de aplicare a ordonanței.</w:t>
            </w:r>
          </w:p>
          <w:p w14:paraId="3A7346B4" w14:textId="77777777" w:rsidR="00A848A7" w:rsidRPr="00FD758C" w:rsidRDefault="00A848A7" w:rsidP="00A848A7">
            <w:pPr>
              <w:tabs>
                <w:tab w:val="left" w:pos="3960"/>
              </w:tabs>
              <w:spacing w:before="120" w:after="120"/>
              <w:jc w:val="both"/>
              <w:rPr>
                <w:bCs/>
                <w:sz w:val="22"/>
                <w:szCs w:val="22"/>
              </w:rPr>
            </w:pPr>
            <w:r w:rsidRPr="00FD758C">
              <w:rPr>
                <w:bCs/>
                <w:sz w:val="22"/>
                <w:szCs w:val="22"/>
              </w:rPr>
              <w:t>Instrumentul de finanțare Mecanismul pentru Interconectarea Europei – CEF, instituit în baza Regulamentului (UE) 1316/2013 al Parlamentului European şi al Consiliului de instituire a CEF, urmărește să sprijine implementarea acelor proiecte de interes comun care vizează dezvoltarea și construcția unor infrastructuri și servicii noi sau modernizarea infrastructurilor și serviciilor existente în sectoarele transporturilor, telecomunicațiilor și energiei.</w:t>
            </w:r>
          </w:p>
          <w:p w14:paraId="1C28F96F" w14:textId="0EFE5CCC" w:rsidR="00A848A7" w:rsidRPr="00FD758C" w:rsidRDefault="0050621B" w:rsidP="00A848A7">
            <w:pPr>
              <w:tabs>
                <w:tab w:val="left" w:pos="3960"/>
              </w:tabs>
              <w:spacing w:before="120" w:after="120"/>
              <w:jc w:val="both"/>
              <w:rPr>
                <w:bCs/>
                <w:sz w:val="22"/>
                <w:szCs w:val="22"/>
              </w:rPr>
            </w:pPr>
            <w:r w:rsidRPr="00FD758C">
              <w:rPr>
                <w:bCs/>
                <w:sz w:val="22"/>
                <w:szCs w:val="22"/>
              </w:rPr>
              <w:t>Art. 40 alin. (1) din</w:t>
            </w:r>
            <w:r w:rsidR="00A848A7" w:rsidRPr="00FD758C">
              <w:rPr>
                <w:bCs/>
                <w:sz w:val="22"/>
                <w:szCs w:val="22"/>
              </w:rPr>
              <w:t xml:space="preserve"> HG nr. 93/2016, </w:t>
            </w:r>
            <w:r w:rsidRPr="00FD758C">
              <w:rPr>
                <w:bCs/>
                <w:sz w:val="22"/>
                <w:szCs w:val="22"/>
              </w:rPr>
              <w:t>cu modificările și completările ulterioare, reglementează</w:t>
            </w:r>
            <w:r w:rsidR="00A848A7" w:rsidRPr="00FD758C">
              <w:rPr>
                <w:bCs/>
                <w:sz w:val="22"/>
                <w:szCs w:val="22"/>
              </w:rPr>
              <w:t xml:space="preserve"> sumele care se cuprind în bugetul Ministerului </w:t>
            </w:r>
            <w:r w:rsidRPr="00FD758C">
              <w:rPr>
                <w:bCs/>
                <w:sz w:val="22"/>
                <w:szCs w:val="22"/>
              </w:rPr>
              <w:t>Investițiilor</w:t>
            </w:r>
            <w:r w:rsidR="00A848A7" w:rsidRPr="00FD758C">
              <w:rPr>
                <w:bCs/>
                <w:sz w:val="22"/>
                <w:szCs w:val="22"/>
              </w:rPr>
              <w:t xml:space="preserve"> </w:t>
            </w:r>
            <w:r w:rsidRPr="00FD758C">
              <w:rPr>
                <w:bCs/>
                <w:sz w:val="22"/>
                <w:szCs w:val="22"/>
              </w:rPr>
              <w:t>și</w:t>
            </w:r>
            <w:r w:rsidR="00A848A7" w:rsidRPr="00FD758C">
              <w:rPr>
                <w:bCs/>
                <w:sz w:val="22"/>
                <w:szCs w:val="22"/>
              </w:rPr>
              <w:t xml:space="preserve"> Proiectelor Europene, pentru </w:t>
            </w:r>
            <w:r w:rsidRPr="00FD758C">
              <w:rPr>
                <w:bCs/>
                <w:sz w:val="22"/>
                <w:szCs w:val="22"/>
              </w:rPr>
              <w:t>finanțarea</w:t>
            </w:r>
            <w:r w:rsidR="00A848A7" w:rsidRPr="00FD758C">
              <w:rPr>
                <w:bCs/>
                <w:sz w:val="22"/>
                <w:szCs w:val="22"/>
              </w:rPr>
              <w:t xml:space="preserve"> proiectelor în cadrul Mecanismului pentru Interconectarea Europei</w:t>
            </w:r>
            <w:r w:rsidRPr="00FD758C">
              <w:rPr>
                <w:bCs/>
                <w:sz w:val="22"/>
                <w:szCs w:val="22"/>
              </w:rPr>
              <w:t xml:space="preserve"> </w:t>
            </w:r>
            <w:r w:rsidR="00A848A7" w:rsidRPr="00FD758C">
              <w:rPr>
                <w:bCs/>
                <w:sz w:val="22"/>
                <w:szCs w:val="22"/>
              </w:rPr>
              <w:t>ai căror beneficiari sunt operatori economici cu capital de stat, după cum urmează:</w:t>
            </w:r>
          </w:p>
          <w:p w14:paraId="75184D9F" w14:textId="30D121D5" w:rsidR="00A848A7" w:rsidRPr="00FD758C" w:rsidRDefault="00493A24" w:rsidP="00A848A7">
            <w:pPr>
              <w:tabs>
                <w:tab w:val="left" w:pos="3960"/>
              </w:tabs>
              <w:spacing w:before="120" w:after="120"/>
              <w:jc w:val="both"/>
              <w:rPr>
                <w:bCs/>
                <w:sz w:val="22"/>
                <w:szCs w:val="22"/>
              </w:rPr>
            </w:pPr>
            <w:r w:rsidRPr="00FD758C">
              <w:rPr>
                <w:bCs/>
                <w:sz w:val="22"/>
                <w:szCs w:val="22"/>
              </w:rPr>
              <w:t>„</w:t>
            </w:r>
            <w:r w:rsidR="00A848A7" w:rsidRPr="00FD758C">
              <w:rPr>
                <w:bCs/>
                <w:sz w:val="22"/>
                <w:szCs w:val="22"/>
              </w:rPr>
              <w:t xml:space="preserve">a) sumele necesare </w:t>
            </w:r>
            <w:r w:rsidR="0050621B" w:rsidRPr="00FD758C">
              <w:rPr>
                <w:bCs/>
                <w:sz w:val="22"/>
                <w:szCs w:val="22"/>
              </w:rPr>
              <w:t>cofinanțării</w:t>
            </w:r>
            <w:r w:rsidR="00A848A7" w:rsidRPr="00FD758C">
              <w:rPr>
                <w:bCs/>
                <w:sz w:val="22"/>
                <w:szCs w:val="22"/>
              </w:rPr>
              <w:t xml:space="preserve"> publice naționale, corespunzătoare valorii totale a costurilor eligibile la nivel de proiect, stabilită conform acordurilor/deciziilor de finanțare;</w:t>
            </w:r>
          </w:p>
          <w:p w14:paraId="40C10946" w14:textId="77777777" w:rsidR="00A848A7" w:rsidRPr="00FD758C" w:rsidRDefault="00A848A7" w:rsidP="00A848A7">
            <w:pPr>
              <w:tabs>
                <w:tab w:val="left" w:pos="3960"/>
              </w:tabs>
              <w:spacing w:before="120" w:after="120"/>
              <w:jc w:val="both"/>
              <w:rPr>
                <w:bCs/>
                <w:sz w:val="22"/>
                <w:szCs w:val="22"/>
              </w:rPr>
            </w:pPr>
            <w:r w:rsidRPr="00FD758C">
              <w:rPr>
                <w:bCs/>
                <w:sz w:val="22"/>
                <w:szCs w:val="22"/>
              </w:rPr>
              <w:t>b) sumele necesare plății taxei pe valoare adăugată neeligibilă;</w:t>
            </w:r>
          </w:p>
          <w:p w14:paraId="488D99CC" w14:textId="77777777" w:rsidR="00A848A7" w:rsidRPr="00FD758C" w:rsidRDefault="00A848A7" w:rsidP="00A848A7">
            <w:pPr>
              <w:tabs>
                <w:tab w:val="left" w:pos="3960"/>
              </w:tabs>
              <w:spacing w:before="120" w:after="120"/>
              <w:jc w:val="both"/>
              <w:rPr>
                <w:bCs/>
                <w:sz w:val="22"/>
                <w:szCs w:val="22"/>
              </w:rPr>
            </w:pPr>
          </w:p>
          <w:p w14:paraId="7B51F901" w14:textId="77777777" w:rsidR="00A848A7" w:rsidRPr="00FD758C" w:rsidRDefault="00A848A7" w:rsidP="00A848A7">
            <w:pPr>
              <w:tabs>
                <w:tab w:val="left" w:pos="3960"/>
              </w:tabs>
              <w:spacing w:before="120" w:after="120"/>
              <w:jc w:val="both"/>
              <w:rPr>
                <w:bCs/>
                <w:sz w:val="22"/>
                <w:szCs w:val="22"/>
              </w:rPr>
            </w:pPr>
            <w:r w:rsidRPr="00FD758C">
              <w:rPr>
                <w:bCs/>
                <w:sz w:val="22"/>
                <w:szCs w:val="22"/>
              </w:rPr>
              <w:lastRenderedPageBreak/>
              <w:t>c) sumele necesare pentru finanțarea cheltuielilor considerate neeligibile de către Agenția Executivă pentru Inovare şi Rețele (INEA), altele decât cele prevăzute la lit. b), stabilite conform acordurilor/deciziilor de finanțare;</w:t>
            </w:r>
          </w:p>
          <w:p w14:paraId="6FF2B4CA" w14:textId="380B3409" w:rsidR="00A848A7" w:rsidRPr="00FD758C" w:rsidRDefault="00A848A7" w:rsidP="00A848A7">
            <w:pPr>
              <w:tabs>
                <w:tab w:val="left" w:pos="3960"/>
              </w:tabs>
              <w:spacing w:before="120" w:after="120"/>
              <w:jc w:val="both"/>
              <w:rPr>
                <w:bCs/>
                <w:sz w:val="22"/>
                <w:szCs w:val="22"/>
              </w:rPr>
            </w:pPr>
            <w:r w:rsidRPr="00FD758C">
              <w:rPr>
                <w:bCs/>
                <w:sz w:val="22"/>
                <w:szCs w:val="22"/>
              </w:rPr>
              <w:t>d) contravaloarea sumelor aferente contribuției UE, care în conformitate cu prevederile acordurilor/deciziilor de finanțare se rambursează după finalizarea proiectului.</w:t>
            </w:r>
            <w:r w:rsidR="00493A24" w:rsidRPr="00FD758C">
              <w:rPr>
                <w:bCs/>
                <w:sz w:val="22"/>
                <w:szCs w:val="22"/>
              </w:rPr>
              <w:t>”</w:t>
            </w:r>
          </w:p>
          <w:p w14:paraId="7BB4C7AE" w14:textId="40ED1E39" w:rsidR="002923A7" w:rsidRPr="00FD758C" w:rsidRDefault="00493A24" w:rsidP="00EF32D0">
            <w:pPr>
              <w:pStyle w:val="NormalWeb"/>
              <w:shd w:val="clear" w:color="auto" w:fill="FFFFFF"/>
              <w:spacing w:before="240" w:beforeAutospacing="0" w:after="240" w:afterAutospacing="0"/>
              <w:jc w:val="both"/>
              <w:rPr>
                <w:bCs/>
                <w:sz w:val="22"/>
                <w:szCs w:val="22"/>
                <w:lang w:val="ro-RO"/>
              </w:rPr>
            </w:pPr>
            <w:r w:rsidRPr="00FD758C">
              <w:rPr>
                <w:bCs/>
                <w:sz w:val="22"/>
                <w:szCs w:val="22"/>
                <w:lang w:val="ro-RO"/>
              </w:rPr>
              <w:t xml:space="preserve">Având în vedere că pe parcursul implementării proiectelor apar cheltuieli </w:t>
            </w:r>
            <w:r w:rsidR="00390CDA" w:rsidRPr="00FD758C">
              <w:rPr>
                <w:bCs/>
                <w:sz w:val="22"/>
                <w:szCs w:val="22"/>
                <w:lang w:val="ro-RO"/>
              </w:rPr>
              <w:t>neeligibile determinate de evenimente imprevizibile</w:t>
            </w:r>
            <w:r w:rsidRPr="00FD758C">
              <w:rPr>
                <w:bCs/>
                <w:sz w:val="22"/>
                <w:szCs w:val="22"/>
                <w:lang w:val="ro-RO"/>
              </w:rPr>
              <w:t>, ce suplimentează bugetele alocate proiectelor, făcând imposibilă finalizarea acestora în termenele asumate în acordurile/deciziile de finanțare</w:t>
            </w:r>
            <w:r w:rsidR="00EF32D0" w:rsidRPr="00FD758C">
              <w:rPr>
                <w:bCs/>
                <w:sz w:val="22"/>
                <w:szCs w:val="22"/>
                <w:lang w:val="ro-RO"/>
              </w:rPr>
              <w:t>, precum și a faptului că INEA nu permite actualizarea valorii totale a proiectului și suplimentarea costurilor</w:t>
            </w:r>
            <w:r w:rsidR="00574936" w:rsidRPr="00FD758C">
              <w:rPr>
                <w:bCs/>
                <w:sz w:val="22"/>
                <w:szCs w:val="22"/>
                <w:lang w:val="ro-RO"/>
              </w:rPr>
              <w:t>, respectiv modificarea acordurilor/deciziilor de finanțare</w:t>
            </w:r>
            <w:r w:rsidR="00EF32D0" w:rsidRPr="00FD758C">
              <w:rPr>
                <w:bCs/>
                <w:sz w:val="22"/>
                <w:szCs w:val="22"/>
                <w:lang w:val="ro-RO"/>
              </w:rPr>
              <w:t xml:space="preserve">, deoarece astfel s-ar depăși suma de cofinanțare UE/CEF în valoare de max. 85% din valoarea eligibilă a proiectului </w:t>
            </w:r>
            <w:r w:rsidR="006551ED" w:rsidRPr="00FD758C">
              <w:rPr>
                <w:bCs/>
                <w:sz w:val="22"/>
                <w:szCs w:val="22"/>
                <w:lang w:val="ro-RO"/>
              </w:rPr>
              <w:t xml:space="preserve">și ținând cont de faptul că aceste proiecte sunt de importanță strategică atât la nivel național cât se european, vizând, în special, dezvoltarea coridoarelor transeuropene, </w:t>
            </w:r>
            <w:r w:rsidRPr="00FD758C">
              <w:rPr>
                <w:bCs/>
                <w:sz w:val="22"/>
                <w:szCs w:val="22"/>
                <w:lang w:val="ro-RO"/>
              </w:rPr>
              <w:t>este necesară completarea alin. (1) al art. 40</w:t>
            </w:r>
            <w:r w:rsidR="004A21F0" w:rsidRPr="00FD758C">
              <w:rPr>
                <w:bCs/>
                <w:sz w:val="22"/>
                <w:szCs w:val="22"/>
                <w:lang w:val="ro-RO"/>
              </w:rPr>
              <w:t xml:space="preserve"> din HG nr. 93/2016, cu modificările și completările ulterioare</w:t>
            </w:r>
            <w:r w:rsidRPr="00FD758C">
              <w:rPr>
                <w:bCs/>
                <w:sz w:val="22"/>
                <w:szCs w:val="22"/>
                <w:lang w:val="ro-RO"/>
              </w:rPr>
              <w:t>.</w:t>
            </w:r>
          </w:p>
          <w:p w14:paraId="73FC2442" w14:textId="77777777" w:rsidR="00D24F90" w:rsidRPr="00FD758C" w:rsidRDefault="002923A7" w:rsidP="002923A7">
            <w:pPr>
              <w:pStyle w:val="NormalWeb"/>
              <w:shd w:val="clear" w:color="auto" w:fill="FFFFFF"/>
              <w:spacing w:before="240" w:beforeAutospacing="0" w:after="240" w:afterAutospacing="0"/>
              <w:jc w:val="both"/>
              <w:rPr>
                <w:bCs/>
                <w:sz w:val="22"/>
                <w:szCs w:val="22"/>
                <w:lang w:val="ro-RO"/>
              </w:rPr>
            </w:pPr>
            <w:r w:rsidRPr="00FD758C">
              <w:rPr>
                <w:bCs/>
                <w:sz w:val="22"/>
                <w:szCs w:val="22"/>
                <w:lang w:val="ro-RO"/>
              </w:rPr>
              <w:t>Ministerul Transporturilor şi Infrastructurii</w:t>
            </w:r>
            <w:r w:rsidR="00493A24" w:rsidRPr="00FD758C">
              <w:rPr>
                <w:bCs/>
                <w:sz w:val="22"/>
                <w:szCs w:val="22"/>
                <w:lang w:val="ro-RO"/>
              </w:rPr>
              <w:t xml:space="preserve"> </w:t>
            </w:r>
            <w:r w:rsidRPr="00FD758C">
              <w:rPr>
                <w:bCs/>
                <w:sz w:val="22"/>
                <w:szCs w:val="22"/>
                <w:lang w:val="ro-RO"/>
              </w:rPr>
              <w:t xml:space="preserve">a informat Ministerul Investiţiilor şi Proiectelor Europene că, în ceea ce priveşte impactul financiar asupra bugetului general consolidat atât pe termen scurt (2021) cât şi pe termen lung (5 ani), o estimare a tuturor acestor situaţii (care vor produce un impact bugetar) nu este una fezabilă în raport cu întreg portofoliul de proiecte CEF transport. </w:t>
            </w:r>
          </w:p>
          <w:p w14:paraId="3F260DA6" w14:textId="369549A0" w:rsidR="002923A7" w:rsidRPr="00FD758C" w:rsidRDefault="002923A7" w:rsidP="002923A7">
            <w:pPr>
              <w:pStyle w:val="NormalWeb"/>
              <w:shd w:val="clear" w:color="auto" w:fill="FFFFFF"/>
              <w:spacing w:before="240" w:beforeAutospacing="0" w:after="240" w:afterAutospacing="0"/>
              <w:jc w:val="both"/>
              <w:rPr>
                <w:bCs/>
                <w:sz w:val="22"/>
                <w:szCs w:val="22"/>
                <w:lang w:val="ro-RO"/>
              </w:rPr>
            </w:pPr>
            <w:r w:rsidRPr="00FD758C">
              <w:rPr>
                <w:bCs/>
                <w:sz w:val="22"/>
                <w:szCs w:val="22"/>
                <w:lang w:val="ro-RO"/>
              </w:rPr>
              <w:t>La această dată, un singur beneficiar a transmis solicitare de transfer bugetar a unor sume neeligibile apărute în procesul de implementare a proiectului, neprevăzute la data semnării Acordului de finanţare, în valoare de 4.496.088,68 lei. Menţionăm că perioada de implementare a proiectelor aflate în portofoliul CEF 1 şi care au Acordurile de Finanţare semnate cu COM/INEA este până la sfârşitul anului 2023. Deşi unele proiecte sunt în implementare începând din anul 2015, astfel de situaţii neprevăzute nu au apărut şi este posibil să nici nu mai apară.</w:t>
            </w:r>
          </w:p>
        </w:tc>
      </w:tr>
      <w:tr w:rsidR="0048202D" w:rsidRPr="007E73E4" w14:paraId="6EFC88AD" w14:textId="77777777" w:rsidTr="00132BC2">
        <w:tc>
          <w:tcPr>
            <w:tcW w:w="2372" w:type="dxa"/>
          </w:tcPr>
          <w:p w14:paraId="710A220B" w14:textId="2B07FC74" w:rsidR="00BD631A" w:rsidRPr="007E73E4" w:rsidRDefault="00BD631A">
            <w:pPr>
              <w:jc w:val="both"/>
              <w:rPr>
                <w:sz w:val="22"/>
                <w:szCs w:val="22"/>
              </w:rPr>
            </w:pPr>
            <w:r w:rsidRPr="007E73E4">
              <w:rPr>
                <w:sz w:val="22"/>
                <w:szCs w:val="22"/>
              </w:rPr>
              <w:lastRenderedPageBreak/>
              <w:t>2.Schimbări preconizate</w:t>
            </w:r>
          </w:p>
        </w:tc>
        <w:tc>
          <w:tcPr>
            <w:tcW w:w="7825" w:type="dxa"/>
          </w:tcPr>
          <w:p w14:paraId="684083D2" w14:textId="19F77792" w:rsidR="0050621B" w:rsidRPr="00FD758C" w:rsidRDefault="0050621B" w:rsidP="0050621B">
            <w:pPr>
              <w:pStyle w:val="NormalWeb"/>
              <w:shd w:val="clear" w:color="auto" w:fill="FFFFFF"/>
              <w:spacing w:before="240" w:beforeAutospacing="0" w:after="240" w:afterAutospacing="0"/>
              <w:jc w:val="both"/>
              <w:rPr>
                <w:bCs/>
                <w:sz w:val="22"/>
                <w:szCs w:val="22"/>
                <w:lang w:val="ro-RO"/>
              </w:rPr>
            </w:pPr>
            <w:r w:rsidRPr="00FD758C">
              <w:rPr>
                <w:bCs/>
                <w:sz w:val="22"/>
                <w:szCs w:val="22"/>
                <w:lang w:val="ro-RO"/>
              </w:rPr>
              <w:t xml:space="preserve">Prezentul  act normativ are în vedere </w:t>
            </w:r>
            <w:r w:rsidR="00493A24" w:rsidRPr="00FD758C">
              <w:rPr>
                <w:bCs/>
                <w:sz w:val="22"/>
                <w:szCs w:val="22"/>
                <w:lang w:val="ro-RO"/>
              </w:rPr>
              <w:t>cu</w:t>
            </w:r>
            <w:r w:rsidRPr="00FD758C">
              <w:rPr>
                <w:bCs/>
                <w:sz w:val="22"/>
                <w:szCs w:val="22"/>
                <w:lang w:val="ro-RO"/>
              </w:rPr>
              <w:t xml:space="preserve">prinderea </w:t>
            </w:r>
            <w:r w:rsidR="00493A24" w:rsidRPr="00FD758C">
              <w:rPr>
                <w:bCs/>
                <w:sz w:val="22"/>
                <w:szCs w:val="22"/>
                <w:lang w:val="ro-RO"/>
              </w:rPr>
              <w:t>î</w:t>
            </w:r>
            <w:r w:rsidRPr="00FD758C">
              <w:rPr>
                <w:bCs/>
                <w:sz w:val="22"/>
                <w:szCs w:val="22"/>
                <w:lang w:val="ro-RO"/>
              </w:rPr>
              <w:t xml:space="preserve">n bugetul Ministerului Investițiilor și Proiectelor Europene, a sumelor  </w:t>
            </w:r>
            <w:r w:rsidR="00493A24" w:rsidRPr="00FD758C">
              <w:rPr>
                <w:bCs/>
                <w:sz w:val="22"/>
                <w:szCs w:val="22"/>
                <w:lang w:val="ro-RO"/>
              </w:rPr>
              <w:t xml:space="preserve">neeligibile </w:t>
            </w:r>
            <w:r w:rsidR="00183977" w:rsidRPr="00FD758C">
              <w:rPr>
                <w:bCs/>
                <w:sz w:val="22"/>
                <w:szCs w:val="22"/>
                <w:lang w:val="ro-RO"/>
              </w:rPr>
              <w:t xml:space="preserve">apărute în procesul de implementare </w:t>
            </w:r>
            <w:r w:rsidR="0092516F" w:rsidRPr="00FD758C">
              <w:rPr>
                <w:bCs/>
                <w:sz w:val="22"/>
                <w:szCs w:val="22"/>
                <w:lang w:val="ro-RO"/>
              </w:rPr>
              <w:t xml:space="preserve">și determinate de evenimente imprevizibile </w:t>
            </w:r>
            <w:r w:rsidR="00183977" w:rsidRPr="00FD758C">
              <w:rPr>
                <w:bCs/>
                <w:sz w:val="22"/>
                <w:szCs w:val="22"/>
                <w:lang w:val="ro-RO"/>
              </w:rPr>
              <w:t>la data încheierii acordurilor/deciziilor de finanțare,</w:t>
            </w:r>
            <w:r w:rsidR="00493A24" w:rsidRPr="00FD758C">
              <w:rPr>
                <w:bCs/>
                <w:sz w:val="22"/>
                <w:szCs w:val="22"/>
                <w:lang w:val="ro-RO"/>
              </w:rPr>
              <w:t xml:space="preserve"> necesare pentru finalizarea </w:t>
            </w:r>
            <w:r w:rsidRPr="00FD758C">
              <w:rPr>
                <w:bCs/>
                <w:sz w:val="22"/>
                <w:szCs w:val="22"/>
                <w:lang w:val="ro-RO"/>
              </w:rPr>
              <w:t>proiectelor în cadrul Mecanismului pentru Interconectarea Europei ai căror beneficiari sunt operatori</w:t>
            </w:r>
            <w:r w:rsidR="00493A24" w:rsidRPr="00FD758C">
              <w:rPr>
                <w:bCs/>
                <w:sz w:val="22"/>
                <w:szCs w:val="22"/>
                <w:lang w:val="ro-RO"/>
              </w:rPr>
              <w:t>i</w:t>
            </w:r>
            <w:r w:rsidRPr="00FD758C">
              <w:rPr>
                <w:bCs/>
                <w:sz w:val="22"/>
                <w:szCs w:val="22"/>
                <w:lang w:val="ro-RO"/>
              </w:rPr>
              <w:t xml:space="preserve"> economici cu capital de stat</w:t>
            </w:r>
            <w:r w:rsidR="00493A24" w:rsidRPr="00FD758C">
              <w:rPr>
                <w:bCs/>
                <w:sz w:val="22"/>
                <w:szCs w:val="22"/>
                <w:lang w:val="ro-RO"/>
              </w:rPr>
              <w:t>.</w:t>
            </w:r>
          </w:p>
          <w:p w14:paraId="31E666A5" w14:textId="0D85B82E" w:rsidR="00132BC2" w:rsidRPr="00FD758C" w:rsidRDefault="00493A24" w:rsidP="009C3F58">
            <w:pPr>
              <w:pStyle w:val="NormalWeb"/>
              <w:shd w:val="clear" w:color="auto" w:fill="FFFFFF"/>
              <w:spacing w:before="240" w:beforeAutospacing="0" w:after="240" w:afterAutospacing="0"/>
              <w:jc w:val="both"/>
              <w:rPr>
                <w:bCs/>
                <w:sz w:val="22"/>
                <w:szCs w:val="22"/>
                <w:lang w:val="en-GB"/>
              </w:rPr>
            </w:pPr>
            <w:r w:rsidRPr="00FD758C">
              <w:rPr>
                <w:bCs/>
                <w:sz w:val="22"/>
                <w:szCs w:val="22"/>
                <w:lang w:val="ro-RO"/>
              </w:rPr>
              <w:t>Cuprinderea acestor sume în bugetul Ministerului Investițiilor și Proiectelor Europene se va face</w:t>
            </w:r>
            <w:r w:rsidR="0050621B" w:rsidRPr="00FD758C">
              <w:rPr>
                <w:bCs/>
                <w:sz w:val="22"/>
                <w:szCs w:val="22"/>
                <w:lang w:val="ro-RO"/>
              </w:rPr>
              <w:t xml:space="preserve"> </w:t>
            </w:r>
            <w:r w:rsidR="00183977" w:rsidRPr="00FD758C">
              <w:rPr>
                <w:bCs/>
                <w:sz w:val="22"/>
                <w:szCs w:val="22"/>
                <w:lang w:val="ro-RO"/>
              </w:rPr>
              <w:t>cu avizul prealabil al ministerului responsabil de politica în domeniul de activitate în care se implementează proiectul</w:t>
            </w:r>
            <w:r w:rsidR="0050621B" w:rsidRPr="00FD758C">
              <w:rPr>
                <w:bCs/>
                <w:sz w:val="22"/>
                <w:szCs w:val="22"/>
                <w:lang w:val="ro-RO"/>
              </w:rPr>
              <w:t>.</w:t>
            </w:r>
          </w:p>
        </w:tc>
      </w:tr>
      <w:tr w:rsidR="00247B36" w:rsidRPr="007E73E4" w14:paraId="00787043" w14:textId="77777777" w:rsidTr="00132BC2">
        <w:tc>
          <w:tcPr>
            <w:tcW w:w="2372" w:type="dxa"/>
          </w:tcPr>
          <w:p w14:paraId="691452A6" w14:textId="77777777" w:rsidR="00247B36" w:rsidRPr="007E73E4" w:rsidRDefault="00247B36" w:rsidP="00247B36">
            <w:pPr>
              <w:jc w:val="both"/>
              <w:rPr>
                <w:sz w:val="22"/>
                <w:szCs w:val="22"/>
              </w:rPr>
            </w:pPr>
            <w:r w:rsidRPr="007E73E4">
              <w:rPr>
                <w:sz w:val="22"/>
                <w:szCs w:val="22"/>
              </w:rPr>
              <w:t>3.Alte informaţii</w:t>
            </w:r>
          </w:p>
        </w:tc>
        <w:tc>
          <w:tcPr>
            <w:tcW w:w="7825" w:type="dxa"/>
          </w:tcPr>
          <w:p w14:paraId="467E9073" w14:textId="6947E1C0" w:rsidR="00247B36" w:rsidRPr="007E73E4" w:rsidRDefault="00247B36" w:rsidP="00247B36">
            <w:pPr>
              <w:widowControl w:val="0"/>
              <w:autoSpaceDE w:val="0"/>
              <w:autoSpaceDN w:val="0"/>
              <w:adjustRightInd w:val="0"/>
              <w:spacing w:before="120" w:after="120"/>
              <w:jc w:val="both"/>
              <w:rPr>
                <w:bCs/>
                <w:sz w:val="22"/>
                <w:szCs w:val="22"/>
              </w:rPr>
            </w:pPr>
            <w:r>
              <w:rPr>
                <w:sz w:val="22"/>
                <w:szCs w:val="22"/>
              </w:rPr>
              <w:t>Nu au fost identificate</w:t>
            </w:r>
          </w:p>
        </w:tc>
      </w:tr>
    </w:tbl>
    <w:p w14:paraId="6BBC762F" w14:textId="31DEC73A" w:rsidR="00F45905" w:rsidRPr="007E73E4" w:rsidRDefault="00F45905">
      <w:pPr>
        <w:spacing w:before="120" w:after="120"/>
        <w:ind w:left="357"/>
        <w:rPr>
          <w:b/>
          <w:sz w:val="22"/>
          <w:szCs w:val="22"/>
        </w:rPr>
      </w:pPr>
    </w:p>
    <w:p w14:paraId="4A8DCD71" w14:textId="77777777" w:rsidR="006551ED" w:rsidRPr="007E73E4" w:rsidRDefault="006551ED">
      <w:pPr>
        <w:spacing w:before="120" w:after="120"/>
        <w:ind w:left="357"/>
        <w:rPr>
          <w:b/>
          <w:sz w:val="22"/>
          <w:szCs w:val="22"/>
        </w:rPr>
      </w:pPr>
    </w:p>
    <w:p w14:paraId="27775DB5" w14:textId="5219C1F0" w:rsidR="00BD631A" w:rsidRPr="007E73E4" w:rsidRDefault="00BD631A">
      <w:pPr>
        <w:spacing w:before="120" w:after="120"/>
        <w:ind w:left="357"/>
        <w:rPr>
          <w:b/>
          <w:sz w:val="22"/>
          <w:szCs w:val="22"/>
        </w:rPr>
      </w:pPr>
      <w:r w:rsidRPr="007E73E4">
        <w:rPr>
          <w:b/>
          <w:sz w:val="22"/>
          <w:szCs w:val="22"/>
        </w:rPr>
        <w:t>Secţiunea a 3-a - Impactul socio-economic al proiectului de act normativ</w:t>
      </w:r>
    </w:p>
    <w:p w14:paraId="4131E303" w14:textId="77777777" w:rsidR="006551ED" w:rsidRPr="007E73E4" w:rsidRDefault="006551ED">
      <w:pPr>
        <w:spacing w:before="120" w:after="120"/>
        <w:ind w:left="357"/>
        <w:rPr>
          <w:b/>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48202D" w:rsidRPr="007E73E4" w14:paraId="7532893C" w14:textId="77777777" w:rsidTr="00F45905">
        <w:tc>
          <w:tcPr>
            <w:tcW w:w="2684" w:type="dxa"/>
          </w:tcPr>
          <w:p w14:paraId="2952B868" w14:textId="77777777" w:rsidR="00BD631A" w:rsidRPr="007E73E4" w:rsidRDefault="00BD631A">
            <w:pPr>
              <w:rPr>
                <w:sz w:val="22"/>
                <w:szCs w:val="22"/>
              </w:rPr>
            </w:pPr>
            <w:r w:rsidRPr="007E73E4">
              <w:rPr>
                <w:sz w:val="22"/>
                <w:szCs w:val="22"/>
              </w:rPr>
              <w:t>1. Impactul macroeconomic</w:t>
            </w:r>
          </w:p>
        </w:tc>
        <w:tc>
          <w:tcPr>
            <w:tcW w:w="7556" w:type="dxa"/>
            <w:vAlign w:val="center"/>
          </w:tcPr>
          <w:p w14:paraId="65792FFA" w14:textId="77777777" w:rsidR="00BD631A" w:rsidRPr="007E73E4" w:rsidRDefault="004C405C" w:rsidP="00F45905">
            <w:pPr>
              <w:rPr>
                <w:sz w:val="22"/>
                <w:szCs w:val="22"/>
              </w:rPr>
            </w:pPr>
            <w:r w:rsidRPr="007E73E4">
              <w:rPr>
                <w:sz w:val="22"/>
                <w:szCs w:val="22"/>
              </w:rPr>
              <w:t>Proiectul de act normativ nu se referă la acest subiect</w:t>
            </w:r>
          </w:p>
        </w:tc>
      </w:tr>
      <w:tr w:rsidR="0048202D" w:rsidRPr="007E73E4" w14:paraId="7B784846" w14:textId="77777777" w:rsidTr="00F45905">
        <w:tc>
          <w:tcPr>
            <w:tcW w:w="2684" w:type="dxa"/>
          </w:tcPr>
          <w:p w14:paraId="2EC7AB40" w14:textId="77777777" w:rsidR="00BD631A" w:rsidRPr="007E73E4" w:rsidRDefault="00BD631A">
            <w:pPr>
              <w:rPr>
                <w:sz w:val="22"/>
                <w:szCs w:val="22"/>
              </w:rPr>
            </w:pPr>
            <w:r w:rsidRPr="007E73E4">
              <w:rPr>
                <w:sz w:val="22"/>
                <w:szCs w:val="22"/>
              </w:rPr>
              <w:t>1</w:t>
            </w:r>
            <w:r w:rsidRPr="007E73E4">
              <w:rPr>
                <w:sz w:val="22"/>
                <w:szCs w:val="22"/>
                <w:vertAlign w:val="superscript"/>
              </w:rPr>
              <w:t>1</w:t>
            </w:r>
            <w:r w:rsidRPr="007E73E4">
              <w:rPr>
                <w:sz w:val="22"/>
                <w:szCs w:val="22"/>
              </w:rPr>
              <w:t xml:space="preserve">. Impactul asupra mediului concurenţial şi </w:t>
            </w:r>
            <w:r w:rsidRPr="007E73E4">
              <w:rPr>
                <w:sz w:val="22"/>
                <w:szCs w:val="22"/>
              </w:rPr>
              <w:lastRenderedPageBreak/>
              <w:t>domeniului ajutoarelor de stat</w:t>
            </w:r>
          </w:p>
        </w:tc>
        <w:tc>
          <w:tcPr>
            <w:tcW w:w="7556" w:type="dxa"/>
            <w:vAlign w:val="center"/>
          </w:tcPr>
          <w:p w14:paraId="3D0171D2" w14:textId="77777777" w:rsidR="00BD631A" w:rsidRPr="007E73E4" w:rsidRDefault="00BD631A" w:rsidP="00F45905">
            <w:pPr>
              <w:spacing w:line="360" w:lineRule="auto"/>
              <w:jc w:val="both"/>
              <w:rPr>
                <w:sz w:val="22"/>
                <w:szCs w:val="22"/>
              </w:rPr>
            </w:pPr>
            <w:r w:rsidRPr="007E73E4">
              <w:rPr>
                <w:sz w:val="22"/>
                <w:szCs w:val="22"/>
              </w:rPr>
              <w:lastRenderedPageBreak/>
              <w:t>Proiectul de act normativ nu se referă la acest subiect</w:t>
            </w:r>
          </w:p>
        </w:tc>
      </w:tr>
      <w:tr w:rsidR="0048202D" w:rsidRPr="007E73E4" w14:paraId="50233145" w14:textId="77777777" w:rsidTr="00F45905">
        <w:tc>
          <w:tcPr>
            <w:tcW w:w="2684" w:type="dxa"/>
          </w:tcPr>
          <w:p w14:paraId="50798E1B" w14:textId="77777777" w:rsidR="00BD631A" w:rsidRPr="007E73E4" w:rsidRDefault="00BD631A">
            <w:pPr>
              <w:rPr>
                <w:sz w:val="22"/>
                <w:szCs w:val="22"/>
              </w:rPr>
            </w:pPr>
            <w:r w:rsidRPr="007E73E4">
              <w:rPr>
                <w:sz w:val="22"/>
                <w:szCs w:val="22"/>
              </w:rPr>
              <w:t>2. Impact asupra mediului de afaceri</w:t>
            </w:r>
          </w:p>
        </w:tc>
        <w:tc>
          <w:tcPr>
            <w:tcW w:w="7556" w:type="dxa"/>
            <w:vAlign w:val="center"/>
          </w:tcPr>
          <w:p w14:paraId="624D7234" w14:textId="77777777" w:rsidR="00BD631A" w:rsidRPr="007E73E4" w:rsidRDefault="00BD631A" w:rsidP="00F45905">
            <w:pPr>
              <w:jc w:val="both"/>
              <w:rPr>
                <w:sz w:val="22"/>
                <w:szCs w:val="22"/>
              </w:rPr>
            </w:pPr>
            <w:r w:rsidRPr="007E73E4">
              <w:rPr>
                <w:sz w:val="22"/>
                <w:szCs w:val="22"/>
              </w:rPr>
              <w:t>Proiectul de act normativ nu se referă la acest subiect</w:t>
            </w:r>
          </w:p>
        </w:tc>
      </w:tr>
      <w:tr w:rsidR="0048202D" w:rsidRPr="007E73E4" w14:paraId="22EC0AE1" w14:textId="77777777" w:rsidTr="00F45905">
        <w:tc>
          <w:tcPr>
            <w:tcW w:w="2684" w:type="dxa"/>
          </w:tcPr>
          <w:p w14:paraId="712611FC" w14:textId="77777777" w:rsidR="008F5AD0" w:rsidRPr="007E73E4" w:rsidRDefault="008F5AD0" w:rsidP="008F5A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7E73E4">
              <w:rPr>
                <w:sz w:val="22"/>
                <w:szCs w:val="22"/>
                <w:lang w:eastAsia="ro-RO"/>
              </w:rPr>
              <w:t>2^1. Impactul asupra sarcinilor administrative</w:t>
            </w:r>
          </w:p>
        </w:tc>
        <w:tc>
          <w:tcPr>
            <w:tcW w:w="7556" w:type="dxa"/>
            <w:vAlign w:val="center"/>
          </w:tcPr>
          <w:p w14:paraId="5C8CDC4B" w14:textId="77777777" w:rsidR="008F5AD0" w:rsidRPr="007E73E4" w:rsidRDefault="008F5AD0" w:rsidP="00F45905">
            <w:pPr>
              <w:jc w:val="both"/>
              <w:rPr>
                <w:sz w:val="22"/>
                <w:szCs w:val="22"/>
              </w:rPr>
            </w:pPr>
            <w:r w:rsidRPr="007E73E4">
              <w:rPr>
                <w:sz w:val="22"/>
                <w:szCs w:val="22"/>
              </w:rPr>
              <w:t>Proiectul de act normativ nu se referă la acest subiect</w:t>
            </w:r>
          </w:p>
        </w:tc>
      </w:tr>
      <w:tr w:rsidR="0048202D" w:rsidRPr="007E73E4" w14:paraId="5155101E" w14:textId="77777777" w:rsidTr="00F45905">
        <w:tc>
          <w:tcPr>
            <w:tcW w:w="2684" w:type="dxa"/>
          </w:tcPr>
          <w:p w14:paraId="546A2737" w14:textId="77777777" w:rsidR="008F5AD0" w:rsidRPr="007E73E4" w:rsidRDefault="008F5AD0" w:rsidP="008F5AD0">
            <w:pPr>
              <w:pStyle w:val="HTMLPreformatted"/>
              <w:shd w:val="clear" w:color="auto" w:fill="FFFFFF"/>
              <w:rPr>
                <w:rFonts w:ascii="Times New Roman" w:hAnsi="Times New Roman" w:cs="Times New Roman"/>
                <w:sz w:val="22"/>
                <w:szCs w:val="22"/>
              </w:rPr>
            </w:pPr>
            <w:r w:rsidRPr="007E73E4">
              <w:rPr>
                <w:rFonts w:ascii="Times New Roman" w:hAnsi="Times New Roman" w:cs="Times New Roman"/>
                <w:sz w:val="22"/>
                <w:szCs w:val="22"/>
              </w:rPr>
              <w:t>2^2. Impactul asupra întreprinderilor mici și mijlocii</w:t>
            </w:r>
          </w:p>
        </w:tc>
        <w:tc>
          <w:tcPr>
            <w:tcW w:w="7556" w:type="dxa"/>
            <w:vAlign w:val="center"/>
          </w:tcPr>
          <w:p w14:paraId="076F3BC8" w14:textId="77777777" w:rsidR="008F5AD0" w:rsidRPr="007E73E4" w:rsidRDefault="008F5AD0" w:rsidP="00F45905">
            <w:pPr>
              <w:jc w:val="both"/>
              <w:rPr>
                <w:sz w:val="22"/>
                <w:szCs w:val="22"/>
              </w:rPr>
            </w:pPr>
            <w:r w:rsidRPr="007E73E4">
              <w:rPr>
                <w:sz w:val="22"/>
                <w:szCs w:val="22"/>
              </w:rPr>
              <w:t>Proiectul de act normativ nu se referă la acest subiect</w:t>
            </w:r>
          </w:p>
        </w:tc>
      </w:tr>
      <w:tr w:rsidR="0048202D" w:rsidRPr="007E73E4" w14:paraId="1B9E7837" w14:textId="77777777" w:rsidTr="00F45905">
        <w:tc>
          <w:tcPr>
            <w:tcW w:w="2684" w:type="dxa"/>
          </w:tcPr>
          <w:p w14:paraId="47582C09" w14:textId="77777777" w:rsidR="00BD631A" w:rsidRPr="007E73E4" w:rsidRDefault="00BD631A">
            <w:pPr>
              <w:rPr>
                <w:sz w:val="22"/>
                <w:szCs w:val="22"/>
              </w:rPr>
            </w:pPr>
            <w:r w:rsidRPr="007E73E4">
              <w:rPr>
                <w:sz w:val="22"/>
                <w:szCs w:val="22"/>
              </w:rPr>
              <w:t>3. Implicaţii sociale</w:t>
            </w:r>
          </w:p>
        </w:tc>
        <w:tc>
          <w:tcPr>
            <w:tcW w:w="7556" w:type="dxa"/>
            <w:vAlign w:val="center"/>
          </w:tcPr>
          <w:p w14:paraId="1C9E26A5" w14:textId="77777777" w:rsidR="00BD631A" w:rsidRPr="007E73E4" w:rsidRDefault="00BD631A" w:rsidP="00F45905">
            <w:pPr>
              <w:jc w:val="both"/>
              <w:rPr>
                <w:sz w:val="22"/>
                <w:szCs w:val="22"/>
              </w:rPr>
            </w:pPr>
            <w:r w:rsidRPr="007E73E4">
              <w:rPr>
                <w:sz w:val="22"/>
                <w:szCs w:val="22"/>
              </w:rPr>
              <w:t>Proiectul de act normativ nu se referă la acest subiect</w:t>
            </w:r>
          </w:p>
          <w:p w14:paraId="7A3D4574" w14:textId="77777777" w:rsidR="00BD631A" w:rsidRPr="007E73E4" w:rsidRDefault="00BD631A" w:rsidP="00F45905">
            <w:pPr>
              <w:jc w:val="both"/>
              <w:rPr>
                <w:sz w:val="22"/>
                <w:szCs w:val="22"/>
              </w:rPr>
            </w:pPr>
          </w:p>
        </w:tc>
      </w:tr>
      <w:tr w:rsidR="0048202D" w:rsidRPr="007E73E4" w14:paraId="324A9980" w14:textId="77777777" w:rsidTr="00F45905">
        <w:tc>
          <w:tcPr>
            <w:tcW w:w="2684" w:type="dxa"/>
          </w:tcPr>
          <w:p w14:paraId="2976A03C" w14:textId="77777777" w:rsidR="00BD631A" w:rsidRPr="007E73E4" w:rsidRDefault="00BD631A">
            <w:pPr>
              <w:rPr>
                <w:sz w:val="22"/>
                <w:szCs w:val="22"/>
              </w:rPr>
            </w:pPr>
            <w:r w:rsidRPr="007E73E4">
              <w:rPr>
                <w:sz w:val="22"/>
                <w:szCs w:val="22"/>
              </w:rPr>
              <w:t>4. Impact asupra mediului</w:t>
            </w:r>
          </w:p>
        </w:tc>
        <w:tc>
          <w:tcPr>
            <w:tcW w:w="7556" w:type="dxa"/>
            <w:vAlign w:val="center"/>
          </w:tcPr>
          <w:p w14:paraId="46EDF7DC" w14:textId="77777777" w:rsidR="00BD631A" w:rsidRPr="007E73E4" w:rsidRDefault="004C405C" w:rsidP="00F45905">
            <w:pPr>
              <w:jc w:val="both"/>
              <w:rPr>
                <w:sz w:val="22"/>
                <w:szCs w:val="22"/>
              </w:rPr>
            </w:pPr>
            <w:r w:rsidRPr="007E73E4">
              <w:rPr>
                <w:sz w:val="22"/>
                <w:szCs w:val="22"/>
              </w:rPr>
              <w:t>Proiectul de act normativ nu se referă la acest subiect</w:t>
            </w:r>
          </w:p>
        </w:tc>
      </w:tr>
      <w:tr w:rsidR="00BD631A" w:rsidRPr="007E73E4" w14:paraId="690095F4" w14:textId="77777777" w:rsidTr="00F45905">
        <w:tc>
          <w:tcPr>
            <w:tcW w:w="2684" w:type="dxa"/>
          </w:tcPr>
          <w:p w14:paraId="72EF9086" w14:textId="77777777" w:rsidR="00BD631A" w:rsidRPr="007E73E4" w:rsidRDefault="00BD631A">
            <w:pPr>
              <w:rPr>
                <w:sz w:val="22"/>
                <w:szCs w:val="22"/>
              </w:rPr>
            </w:pPr>
            <w:r w:rsidRPr="007E73E4">
              <w:rPr>
                <w:sz w:val="22"/>
                <w:szCs w:val="22"/>
              </w:rPr>
              <w:t>5. Alte informaţii</w:t>
            </w:r>
          </w:p>
        </w:tc>
        <w:tc>
          <w:tcPr>
            <w:tcW w:w="7556" w:type="dxa"/>
            <w:vAlign w:val="center"/>
          </w:tcPr>
          <w:p w14:paraId="6B885A64" w14:textId="77777777" w:rsidR="00BD631A" w:rsidRPr="007E73E4" w:rsidRDefault="00BD631A" w:rsidP="00F45905">
            <w:pPr>
              <w:spacing w:line="360" w:lineRule="auto"/>
              <w:jc w:val="both"/>
              <w:rPr>
                <w:sz w:val="22"/>
                <w:szCs w:val="22"/>
              </w:rPr>
            </w:pPr>
            <w:r w:rsidRPr="007E73E4">
              <w:rPr>
                <w:sz w:val="22"/>
                <w:szCs w:val="22"/>
              </w:rPr>
              <w:t>Nu au fost identificate</w:t>
            </w:r>
          </w:p>
        </w:tc>
      </w:tr>
    </w:tbl>
    <w:p w14:paraId="56859392" w14:textId="77777777" w:rsidR="00BD631A" w:rsidRPr="007E73E4" w:rsidRDefault="00BD631A">
      <w:pPr>
        <w:jc w:val="both"/>
        <w:rPr>
          <w:b/>
          <w:sz w:val="22"/>
          <w:szCs w:val="22"/>
        </w:rPr>
      </w:pPr>
    </w:p>
    <w:p w14:paraId="0EE0C82C" w14:textId="77777777" w:rsidR="006551ED" w:rsidRPr="007E73E4" w:rsidRDefault="006551ED" w:rsidP="00A32AA7">
      <w:pPr>
        <w:ind w:left="180"/>
        <w:jc w:val="both"/>
        <w:rPr>
          <w:b/>
          <w:sz w:val="22"/>
          <w:szCs w:val="22"/>
        </w:rPr>
      </w:pPr>
    </w:p>
    <w:p w14:paraId="2BD1A03A" w14:textId="77777777" w:rsidR="006551ED" w:rsidRPr="007E73E4" w:rsidRDefault="006551ED" w:rsidP="00A32AA7">
      <w:pPr>
        <w:ind w:left="180"/>
        <w:jc w:val="both"/>
        <w:rPr>
          <w:b/>
          <w:sz w:val="22"/>
          <w:szCs w:val="22"/>
        </w:rPr>
      </w:pPr>
    </w:p>
    <w:p w14:paraId="2B5E6A8C" w14:textId="676BAAD3" w:rsidR="006551ED" w:rsidRDefault="006551ED" w:rsidP="00A32AA7">
      <w:pPr>
        <w:ind w:left="180"/>
        <w:jc w:val="both"/>
        <w:rPr>
          <w:b/>
          <w:sz w:val="22"/>
          <w:szCs w:val="22"/>
        </w:rPr>
      </w:pPr>
    </w:p>
    <w:p w14:paraId="288553E5" w14:textId="77777777" w:rsidR="00D15C08" w:rsidRPr="007E73E4" w:rsidRDefault="00D15C08" w:rsidP="00A32AA7">
      <w:pPr>
        <w:ind w:left="180"/>
        <w:jc w:val="both"/>
        <w:rPr>
          <w:b/>
          <w:sz w:val="22"/>
          <w:szCs w:val="22"/>
        </w:rPr>
      </w:pPr>
    </w:p>
    <w:p w14:paraId="5D7B3163" w14:textId="51BA74CE" w:rsidR="00F07718" w:rsidRPr="007E73E4" w:rsidRDefault="006551ED" w:rsidP="00A32AA7">
      <w:pPr>
        <w:ind w:left="180"/>
        <w:jc w:val="both"/>
        <w:rPr>
          <w:b/>
          <w:sz w:val="22"/>
          <w:szCs w:val="22"/>
        </w:rPr>
      </w:pPr>
      <w:r w:rsidRPr="007E73E4">
        <w:rPr>
          <w:b/>
          <w:sz w:val="22"/>
          <w:szCs w:val="22"/>
        </w:rPr>
        <w:t>S</w:t>
      </w:r>
      <w:r w:rsidR="00BD631A" w:rsidRPr="007E73E4">
        <w:rPr>
          <w:b/>
          <w:sz w:val="22"/>
          <w:szCs w:val="22"/>
        </w:rPr>
        <w:t>ecţiunea a 4-a. Impactul financiar asupra bugetului de stat consolidat, atât pe termen scurt, pentru anul curent, cât şi pe termen lung (pe 5 ani)</w:t>
      </w:r>
    </w:p>
    <w:p w14:paraId="5A228BA3" w14:textId="791FDDB9" w:rsidR="004225A6" w:rsidRPr="007E73E4" w:rsidRDefault="004225A6">
      <w:pPr>
        <w:ind w:left="180"/>
        <w:jc w:val="both"/>
        <w:rPr>
          <w:b/>
          <w:sz w:val="22"/>
          <w:szCs w:val="22"/>
        </w:rPr>
      </w:pPr>
    </w:p>
    <w:p w14:paraId="5689E8B5" w14:textId="512BA455" w:rsidR="006551ED" w:rsidRDefault="006551ED">
      <w:pPr>
        <w:ind w:left="180"/>
        <w:jc w:val="both"/>
        <w:rPr>
          <w:b/>
          <w:sz w:val="22"/>
          <w:szCs w:val="22"/>
        </w:rPr>
      </w:pPr>
    </w:p>
    <w:p w14:paraId="124C44CC" w14:textId="12F7F983" w:rsidR="007E73E4" w:rsidRDefault="007E73E4">
      <w:pPr>
        <w:ind w:left="180"/>
        <w:jc w:val="both"/>
        <w:rPr>
          <w:b/>
          <w:sz w:val="22"/>
          <w:szCs w:val="22"/>
        </w:rPr>
      </w:pPr>
    </w:p>
    <w:p w14:paraId="4E2BE14B" w14:textId="77777777" w:rsidR="007E73E4" w:rsidRPr="007E73E4" w:rsidRDefault="007E73E4">
      <w:pPr>
        <w:ind w:left="180"/>
        <w:jc w:val="both"/>
        <w:rPr>
          <w:b/>
          <w:sz w:val="22"/>
          <w:szCs w:val="22"/>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0"/>
        <w:gridCol w:w="879"/>
        <w:gridCol w:w="538"/>
        <w:gridCol w:w="851"/>
        <w:gridCol w:w="709"/>
        <w:gridCol w:w="663"/>
        <w:gridCol w:w="1980"/>
      </w:tblGrid>
      <w:tr w:rsidR="0048202D" w:rsidRPr="007E73E4" w14:paraId="3255D0F4" w14:textId="77777777" w:rsidTr="006551ED">
        <w:tc>
          <w:tcPr>
            <w:tcW w:w="4640" w:type="dxa"/>
          </w:tcPr>
          <w:p w14:paraId="7A53E2E6" w14:textId="77777777" w:rsidR="00BD631A" w:rsidRPr="007E73E4" w:rsidRDefault="00BD631A">
            <w:pPr>
              <w:pStyle w:val="Heading2"/>
              <w:rPr>
                <w:sz w:val="22"/>
                <w:szCs w:val="22"/>
              </w:rPr>
            </w:pPr>
            <w:r w:rsidRPr="007E73E4">
              <w:rPr>
                <w:sz w:val="22"/>
                <w:szCs w:val="22"/>
              </w:rPr>
              <w:t>Indicatori</w:t>
            </w:r>
          </w:p>
        </w:tc>
        <w:tc>
          <w:tcPr>
            <w:tcW w:w="879" w:type="dxa"/>
          </w:tcPr>
          <w:p w14:paraId="7F3486F7" w14:textId="77777777" w:rsidR="00BD631A" w:rsidRPr="007E73E4" w:rsidRDefault="00BD631A">
            <w:pPr>
              <w:jc w:val="center"/>
              <w:rPr>
                <w:sz w:val="22"/>
                <w:szCs w:val="22"/>
              </w:rPr>
            </w:pPr>
            <w:r w:rsidRPr="007E73E4">
              <w:rPr>
                <w:sz w:val="22"/>
                <w:szCs w:val="22"/>
              </w:rPr>
              <w:t>An curent</w:t>
            </w:r>
          </w:p>
        </w:tc>
        <w:tc>
          <w:tcPr>
            <w:tcW w:w="2761" w:type="dxa"/>
            <w:gridSpan w:val="4"/>
          </w:tcPr>
          <w:p w14:paraId="1D2AA3D9" w14:textId="77777777" w:rsidR="00BD631A" w:rsidRPr="007E73E4" w:rsidRDefault="00BD631A">
            <w:pPr>
              <w:jc w:val="center"/>
              <w:rPr>
                <w:sz w:val="22"/>
                <w:szCs w:val="22"/>
              </w:rPr>
            </w:pPr>
            <w:r w:rsidRPr="007E73E4">
              <w:rPr>
                <w:sz w:val="22"/>
                <w:szCs w:val="22"/>
              </w:rPr>
              <w:t>Următorii 4 ani</w:t>
            </w:r>
          </w:p>
        </w:tc>
        <w:tc>
          <w:tcPr>
            <w:tcW w:w="1980" w:type="dxa"/>
          </w:tcPr>
          <w:p w14:paraId="07DC87E3" w14:textId="77777777" w:rsidR="00BD631A" w:rsidRPr="007E73E4" w:rsidRDefault="00BD631A">
            <w:pPr>
              <w:jc w:val="center"/>
              <w:rPr>
                <w:sz w:val="22"/>
                <w:szCs w:val="22"/>
              </w:rPr>
            </w:pPr>
            <w:r w:rsidRPr="007E73E4">
              <w:rPr>
                <w:sz w:val="22"/>
                <w:szCs w:val="22"/>
              </w:rPr>
              <w:t>Media următorilor 5 ani, după anul curent</w:t>
            </w:r>
          </w:p>
        </w:tc>
      </w:tr>
      <w:tr w:rsidR="0048202D" w:rsidRPr="007E73E4" w14:paraId="2160FC14" w14:textId="77777777" w:rsidTr="006551ED">
        <w:trPr>
          <w:trHeight w:val="221"/>
        </w:trPr>
        <w:tc>
          <w:tcPr>
            <w:tcW w:w="4640" w:type="dxa"/>
            <w:vAlign w:val="center"/>
          </w:tcPr>
          <w:p w14:paraId="213DF10A" w14:textId="77777777" w:rsidR="00BD631A" w:rsidRPr="007E73E4" w:rsidRDefault="00BD631A" w:rsidP="00132BC2">
            <w:pPr>
              <w:jc w:val="center"/>
              <w:rPr>
                <w:sz w:val="22"/>
                <w:szCs w:val="22"/>
              </w:rPr>
            </w:pPr>
            <w:r w:rsidRPr="007E73E4">
              <w:rPr>
                <w:sz w:val="22"/>
                <w:szCs w:val="22"/>
              </w:rPr>
              <w:t>1</w:t>
            </w:r>
          </w:p>
        </w:tc>
        <w:tc>
          <w:tcPr>
            <w:tcW w:w="879" w:type="dxa"/>
            <w:vAlign w:val="center"/>
          </w:tcPr>
          <w:p w14:paraId="6054E2A6" w14:textId="77777777" w:rsidR="00BD631A" w:rsidRPr="007E73E4" w:rsidRDefault="00BD631A" w:rsidP="00132BC2">
            <w:pPr>
              <w:jc w:val="center"/>
              <w:rPr>
                <w:sz w:val="22"/>
                <w:szCs w:val="22"/>
              </w:rPr>
            </w:pPr>
            <w:r w:rsidRPr="007E73E4">
              <w:rPr>
                <w:sz w:val="22"/>
                <w:szCs w:val="22"/>
              </w:rPr>
              <w:t>2</w:t>
            </w:r>
          </w:p>
        </w:tc>
        <w:tc>
          <w:tcPr>
            <w:tcW w:w="538" w:type="dxa"/>
            <w:vAlign w:val="center"/>
          </w:tcPr>
          <w:p w14:paraId="3387E83A" w14:textId="77777777" w:rsidR="00BD631A" w:rsidRPr="007E73E4" w:rsidRDefault="00BD631A" w:rsidP="00132BC2">
            <w:pPr>
              <w:jc w:val="center"/>
              <w:rPr>
                <w:sz w:val="22"/>
                <w:szCs w:val="22"/>
              </w:rPr>
            </w:pPr>
            <w:r w:rsidRPr="007E73E4">
              <w:rPr>
                <w:sz w:val="22"/>
                <w:szCs w:val="22"/>
              </w:rPr>
              <w:t>3</w:t>
            </w:r>
          </w:p>
        </w:tc>
        <w:tc>
          <w:tcPr>
            <w:tcW w:w="851" w:type="dxa"/>
            <w:vAlign w:val="center"/>
          </w:tcPr>
          <w:p w14:paraId="7FE4BE73" w14:textId="77777777" w:rsidR="00BD631A" w:rsidRPr="007E73E4" w:rsidRDefault="00BD631A" w:rsidP="00132BC2">
            <w:pPr>
              <w:jc w:val="center"/>
              <w:rPr>
                <w:sz w:val="22"/>
                <w:szCs w:val="22"/>
              </w:rPr>
            </w:pPr>
            <w:r w:rsidRPr="007E73E4">
              <w:rPr>
                <w:sz w:val="22"/>
                <w:szCs w:val="22"/>
              </w:rPr>
              <w:t>4</w:t>
            </w:r>
          </w:p>
        </w:tc>
        <w:tc>
          <w:tcPr>
            <w:tcW w:w="709" w:type="dxa"/>
            <w:vAlign w:val="center"/>
          </w:tcPr>
          <w:p w14:paraId="056B49A0" w14:textId="77777777" w:rsidR="00BD631A" w:rsidRPr="007E73E4" w:rsidRDefault="00BD631A" w:rsidP="00132BC2">
            <w:pPr>
              <w:jc w:val="center"/>
              <w:rPr>
                <w:sz w:val="22"/>
                <w:szCs w:val="22"/>
              </w:rPr>
            </w:pPr>
            <w:r w:rsidRPr="007E73E4">
              <w:rPr>
                <w:sz w:val="22"/>
                <w:szCs w:val="22"/>
              </w:rPr>
              <w:t>5</w:t>
            </w:r>
          </w:p>
        </w:tc>
        <w:tc>
          <w:tcPr>
            <w:tcW w:w="663" w:type="dxa"/>
            <w:vAlign w:val="center"/>
          </w:tcPr>
          <w:p w14:paraId="7FF43EBC" w14:textId="77777777" w:rsidR="00BD631A" w:rsidRPr="007E73E4" w:rsidRDefault="00BD631A" w:rsidP="00132BC2">
            <w:pPr>
              <w:jc w:val="center"/>
              <w:rPr>
                <w:sz w:val="22"/>
                <w:szCs w:val="22"/>
              </w:rPr>
            </w:pPr>
            <w:r w:rsidRPr="007E73E4">
              <w:rPr>
                <w:sz w:val="22"/>
                <w:szCs w:val="22"/>
              </w:rPr>
              <w:t>6</w:t>
            </w:r>
          </w:p>
        </w:tc>
        <w:tc>
          <w:tcPr>
            <w:tcW w:w="1980" w:type="dxa"/>
            <w:vAlign w:val="center"/>
          </w:tcPr>
          <w:p w14:paraId="5817BAAA" w14:textId="77777777" w:rsidR="00BD631A" w:rsidRPr="007E73E4" w:rsidRDefault="00BD631A" w:rsidP="00132BC2">
            <w:pPr>
              <w:jc w:val="center"/>
              <w:rPr>
                <w:sz w:val="22"/>
                <w:szCs w:val="22"/>
              </w:rPr>
            </w:pPr>
            <w:r w:rsidRPr="007E73E4">
              <w:rPr>
                <w:sz w:val="22"/>
                <w:szCs w:val="22"/>
              </w:rPr>
              <w:t>7</w:t>
            </w:r>
          </w:p>
        </w:tc>
      </w:tr>
      <w:tr w:rsidR="0048202D" w:rsidRPr="007E73E4" w14:paraId="797B3AD8" w14:textId="77777777" w:rsidTr="006551ED">
        <w:tc>
          <w:tcPr>
            <w:tcW w:w="4640" w:type="dxa"/>
          </w:tcPr>
          <w:p w14:paraId="20B34975" w14:textId="77777777" w:rsidR="00BD631A" w:rsidRPr="007E73E4" w:rsidRDefault="00BD631A">
            <w:pPr>
              <w:rPr>
                <w:sz w:val="22"/>
                <w:szCs w:val="22"/>
              </w:rPr>
            </w:pPr>
            <w:r w:rsidRPr="007E73E4">
              <w:rPr>
                <w:sz w:val="22"/>
                <w:szCs w:val="22"/>
              </w:rPr>
              <w:t>1.Modificări ale veniturilor bugetare, plus/minus, din care:</w:t>
            </w:r>
          </w:p>
          <w:p w14:paraId="1915DE34" w14:textId="77777777" w:rsidR="00BD631A" w:rsidRPr="007E73E4" w:rsidRDefault="00BD631A">
            <w:pPr>
              <w:rPr>
                <w:sz w:val="22"/>
                <w:szCs w:val="22"/>
              </w:rPr>
            </w:pPr>
            <w:r w:rsidRPr="007E73E4">
              <w:rPr>
                <w:sz w:val="22"/>
                <w:szCs w:val="22"/>
              </w:rPr>
              <w:t>a)bugetul de stat, din acesta:</w:t>
            </w:r>
          </w:p>
          <w:p w14:paraId="76FA3C6A" w14:textId="77777777" w:rsidR="00BD631A" w:rsidRPr="007E73E4" w:rsidRDefault="00BD631A">
            <w:pPr>
              <w:rPr>
                <w:sz w:val="22"/>
                <w:szCs w:val="22"/>
              </w:rPr>
            </w:pPr>
            <w:r w:rsidRPr="007E73E4">
              <w:rPr>
                <w:sz w:val="22"/>
                <w:szCs w:val="22"/>
              </w:rPr>
              <w:t>-impozit pe profit</w:t>
            </w:r>
          </w:p>
          <w:p w14:paraId="78ECB24E" w14:textId="77777777" w:rsidR="00BD631A" w:rsidRPr="007E73E4" w:rsidRDefault="00BD631A">
            <w:pPr>
              <w:rPr>
                <w:sz w:val="22"/>
                <w:szCs w:val="22"/>
              </w:rPr>
            </w:pPr>
            <w:r w:rsidRPr="007E73E4">
              <w:rPr>
                <w:sz w:val="22"/>
                <w:szCs w:val="22"/>
              </w:rPr>
              <w:t>-impozit pe venit</w:t>
            </w:r>
          </w:p>
          <w:p w14:paraId="2B8147A8" w14:textId="77777777" w:rsidR="00BD631A" w:rsidRPr="007E73E4" w:rsidRDefault="00BD631A">
            <w:pPr>
              <w:rPr>
                <w:sz w:val="22"/>
                <w:szCs w:val="22"/>
              </w:rPr>
            </w:pPr>
            <w:r w:rsidRPr="007E73E4">
              <w:rPr>
                <w:sz w:val="22"/>
                <w:szCs w:val="22"/>
              </w:rPr>
              <w:t>b)bugete locale:</w:t>
            </w:r>
          </w:p>
          <w:p w14:paraId="19A6D279" w14:textId="77777777" w:rsidR="00BD631A" w:rsidRPr="007E73E4" w:rsidRDefault="00BD631A">
            <w:pPr>
              <w:rPr>
                <w:sz w:val="22"/>
                <w:szCs w:val="22"/>
              </w:rPr>
            </w:pPr>
            <w:r w:rsidRPr="007E73E4">
              <w:rPr>
                <w:sz w:val="22"/>
                <w:szCs w:val="22"/>
              </w:rPr>
              <w:t>-impozit pe profit</w:t>
            </w:r>
          </w:p>
          <w:p w14:paraId="2FE528A6" w14:textId="77777777" w:rsidR="00BD631A" w:rsidRPr="007E73E4" w:rsidRDefault="00BD631A">
            <w:pPr>
              <w:rPr>
                <w:sz w:val="22"/>
                <w:szCs w:val="22"/>
              </w:rPr>
            </w:pPr>
            <w:r w:rsidRPr="007E73E4">
              <w:rPr>
                <w:sz w:val="22"/>
                <w:szCs w:val="22"/>
              </w:rPr>
              <w:t>c)bugetul asigurărilor sociale</w:t>
            </w:r>
          </w:p>
          <w:p w14:paraId="05554718" w14:textId="77777777" w:rsidR="00BD631A" w:rsidRPr="007E73E4" w:rsidRDefault="00BD631A">
            <w:pPr>
              <w:rPr>
                <w:sz w:val="22"/>
                <w:szCs w:val="22"/>
              </w:rPr>
            </w:pPr>
            <w:r w:rsidRPr="007E73E4">
              <w:rPr>
                <w:sz w:val="22"/>
                <w:szCs w:val="22"/>
              </w:rPr>
              <w:t>-contribuţii de asigurări</w:t>
            </w:r>
          </w:p>
        </w:tc>
        <w:tc>
          <w:tcPr>
            <w:tcW w:w="879" w:type="dxa"/>
          </w:tcPr>
          <w:p w14:paraId="33950E94" w14:textId="77777777" w:rsidR="00BD631A" w:rsidRPr="007E73E4" w:rsidRDefault="00BD631A">
            <w:pPr>
              <w:pStyle w:val="BodyText2"/>
              <w:rPr>
                <w:sz w:val="22"/>
                <w:szCs w:val="22"/>
              </w:rPr>
            </w:pPr>
          </w:p>
        </w:tc>
        <w:tc>
          <w:tcPr>
            <w:tcW w:w="538" w:type="dxa"/>
          </w:tcPr>
          <w:p w14:paraId="785D19B5" w14:textId="77777777" w:rsidR="00BD631A" w:rsidRPr="007E73E4" w:rsidRDefault="00BD631A">
            <w:pPr>
              <w:pStyle w:val="BodyText2"/>
              <w:rPr>
                <w:sz w:val="22"/>
                <w:szCs w:val="22"/>
              </w:rPr>
            </w:pPr>
          </w:p>
        </w:tc>
        <w:tc>
          <w:tcPr>
            <w:tcW w:w="851" w:type="dxa"/>
          </w:tcPr>
          <w:p w14:paraId="26B01BB5" w14:textId="77777777" w:rsidR="00BD631A" w:rsidRPr="007E73E4" w:rsidRDefault="00BD631A">
            <w:pPr>
              <w:pStyle w:val="BodyText2"/>
              <w:rPr>
                <w:sz w:val="22"/>
                <w:szCs w:val="22"/>
              </w:rPr>
            </w:pPr>
          </w:p>
        </w:tc>
        <w:tc>
          <w:tcPr>
            <w:tcW w:w="709" w:type="dxa"/>
          </w:tcPr>
          <w:p w14:paraId="4D23B868" w14:textId="77777777" w:rsidR="00BD631A" w:rsidRPr="007E73E4" w:rsidRDefault="00BD631A">
            <w:pPr>
              <w:pStyle w:val="BodyText2"/>
              <w:rPr>
                <w:sz w:val="22"/>
                <w:szCs w:val="22"/>
              </w:rPr>
            </w:pPr>
          </w:p>
        </w:tc>
        <w:tc>
          <w:tcPr>
            <w:tcW w:w="663" w:type="dxa"/>
          </w:tcPr>
          <w:p w14:paraId="6E665CD3" w14:textId="77777777" w:rsidR="00BD631A" w:rsidRPr="007E73E4" w:rsidRDefault="00BD631A">
            <w:pPr>
              <w:pStyle w:val="BodyText2"/>
              <w:rPr>
                <w:sz w:val="22"/>
                <w:szCs w:val="22"/>
              </w:rPr>
            </w:pPr>
          </w:p>
        </w:tc>
        <w:tc>
          <w:tcPr>
            <w:tcW w:w="1980" w:type="dxa"/>
          </w:tcPr>
          <w:p w14:paraId="6803EBD5" w14:textId="77777777" w:rsidR="00BD631A" w:rsidRPr="007E73E4" w:rsidRDefault="00BD631A">
            <w:pPr>
              <w:pStyle w:val="BodyText2"/>
              <w:rPr>
                <w:sz w:val="22"/>
                <w:szCs w:val="22"/>
              </w:rPr>
            </w:pPr>
          </w:p>
        </w:tc>
      </w:tr>
      <w:tr w:rsidR="0048202D" w:rsidRPr="007E73E4" w14:paraId="01CDA767" w14:textId="77777777" w:rsidTr="006551ED">
        <w:tc>
          <w:tcPr>
            <w:tcW w:w="4640" w:type="dxa"/>
          </w:tcPr>
          <w:p w14:paraId="078D62F7" w14:textId="77777777" w:rsidR="00BD631A" w:rsidRPr="007E73E4" w:rsidRDefault="00BD631A">
            <w:pPr>
              <w:rPr>
                <w:sz w:val="22"/>
                <w:szCs w:val="22"/>
              </w:rPr>
            </w:pPr>
            <w:r w:rsidRPr="007E73E4">
              <w:rPr>
                <w:sz w:val="22"/>
                <w:szCs w:val="22"/>
              </w:rPr>
              <w:t>2.Modificări ale cheltuielilor bugetare din care:</w:t>
            </w:r>
          </w:p>
          <w:p w14:paraId="561A3FD2" w14:textId="77777777" w:rsidR="00BD631A" w:rsidRPr="007E73E4" w:rsidRDefault="00BD631A">
            <w:pPr>
              <w:rPr>
                <w:sz w:val="22"/>
                <w:szCs w:val="22"/>
              </w:rPr>
            </w:pPr>
            <w:r w:rsidRPr="007E73E4">
              <w:rPr>
                <w:sz w:val="22"/>
                <w:szCs w:val="22"/>
              </w:rPr>
              <w:t>a)bugetul de stat, din acesta:</w:t>
            </w:r>
          </w:p>
          <w:p w14:paraId="480F4DEE" w14:textId="77777777" w:rsidR="00BD631A" w:rsidRPr="007E73E4" w:rsidRDefault="00BD631A">
            <w:pPr>
              <w:rPr>
                <w:sz w:val="22"/>
                <w:szCs w:val="22"/>
              </w:rPr>
            </w:pPr>
            <w:r w:rsidRPr="007E73E4">
              <w:rPr>
                <w:sz w:val="22"/>
                <w:szCs w:val="22"/>
              </w:rPr>
              <w:t>-cheltuieli de personal</w:t>
            </w:r>
          </w:p>
          <w:p w14:paraId="0E2D79DB" w14:textId="77777777" w:rsidR="00BD631A" w:rsidRPr="007E73E4" w:rsidRDefault="00BD631A">
            <w:pPr>
              <w:rPr>
                <w:sz w:val="22"/>
                <w:szCs w:val="22"/>
              </w:rPr>
            </w:pPr>
            <w:r w:rsidRPr="007E73E4">
              <w:rPr>
                <w:sz w:val="22"/>
                <w:szCs w:val="22"/>
              </w:rPr>
              <w:t>-bunuri şi servicii</w:t>
            </w:r>
          </w:p>
          <w:p w14:paraId="01A88A99" w14:textId="77777777" w:rsidR="00BD631A" w:rsidRPr="007E73E4" w:rsidRDefault="00BD631A">
            <w:pPr>
              <w:rPr>
                <w:sz w:val="22"/>
                <w:szCs w:val="22"/>
              </w:rPr>
            </w:pPr>
            <w:r w:rsidRPr="007E73E4">
              <w:rPr>
                <w:sz w:val="22"/>
                <w:szCs w:val="22"/>
              </w:rPr>
              <w:t>b)bugete locale:</w:t>
            </w:r>
          </w:p>
          <w:p w14:paraId="39D9C05C" w14:textId="77777777" w:rsidR="00BD631A" w:rsidRPr="007E73E4" w:rsidRDefault="00BD631A">
            <w:pPr>
              <w:rPr>
                <w:sz w:val="22"/>
                <w:szCs w:val="22"/>
              </w:rPr>
            </w:pPr>
            <w:r w:rsidRPr="007E73E4">
              <w:rPr>
                <w:sz w:val="22"/>
                <w:szCs w:val="22"/>
              </w:rPr>
              <w:t>-cheltuieli de personal</w:t>
            </w:r>
          </w:p>
          <w:p w14:paraId="71B56CC6" w14:textId="77777777" w:rsidR="00BD631A" w:rsidRPr="007E73E4" w:rsidRDefault="00BD631A">
            <w:pPr>
              <w:rPr>
                <w:sz w:val="22"/>
                <w:szCs w:val="22"/>
              </w:rPr>
            </w:pPr>
            <w:r w:rsidRPr="007E73E4">
              <w:rPr>
                <w:sz w:val="22"/>
                <w:szCs w:val="22"/>
              </w:rPr>
              <w:t>-bunuri şi servicii</w:t>
            </w:r>
          </w:p>
          <w:p w14:paraId="581AEE0D" w14:textId="77777777" w:rsidR="00BD631A" w:rsidRPr="007E73E4" w:rsidRDefault="00BD631A">
            <w:pPr>
              <w:rPr>
                <w:sz w:val="22"/>
                <w:szCs w:val="22"/>
              </w:rPr>
            </w:pPr>
            <w:r w:rsidRPr="007E73E4">
              <w:rPr>
                <w:sz w:val="22"/>
                <w:szCs w:val="22"/>
              </w:rPr>
              <w:t>c)bugetul asigurărilor sociale</w:t>
            </w:r>
          </w:p>
          <w:p w14:paraId="1C2B47F6" w14:textId="77777777" w:rsidR="00BD631A" w:rsidRPr="007E73E4" w:rsidRDefault="00BD631A">
            <w:pPr>
              <w:rPr>
                <w:sz w:val="22"/>
                <w:szCs w:val="22"/>
              </w:rPr>
            </w:pPr>
            <w:r w:rsidRPr="007E73E4">
              <w:rPr>
                <w:sz w:val="22"/>
                <w:szCs w:val="22"/>
              </w:rPr>
              <w:t>-cheltuieli de personal</w:t>
            </w:r>
          </w:p>
          <w:p w14:paraId="437456AC" w14:textId="77777777" w:rsidR="00BD631A" w:rsidRPr="007E73E4" w:rsidRDefault="00BD631A">
            <w:pPr>
              <w:rPr>
                <w:sz w:val="22"/>
                <w:szCs w:val="22"/>
              </w:rPr>
            </w:pPr>
            <w:r w:rsidRPr="007E73E4">
              <w:rPr>
                <w:sz w:val="22"/>
                <w:szCs w:val="22"/>
              </w:rPr>
              <w:t>-bunuri şi servicii</w:t>
            </w:r>
          </w:p>
        </w:tc>
        <w:tc>
          <w:tcPr>
            <w:tcW w:w="879" w:type="dxa"/>
          </w:tcPr>
          <w:p w14:paraId="612DE810" w14:textId="77777777" w:rsidR="00BD631A" w:rsidRPr="007E73E4" w:rsidRDefault="00BD631A">
            <w:pPr>
              <w:jc w:val="both"/>
              <w:rPr>
                <w:sz w:val="22"/>
                <w:szCs w:val="22"/>
              </w:rPr>
            </w:pPr>
          </w:p>
          <w:p w14:paraId="392C9703" w14:textId="77777777" w:rsidR="00BD631A" w:rsidRPr="007E73E4" w:rsidRDefault="00BD631A">
            <w:pPr>
              <w:jc w:val="both"/>
              <w:rPr>
                <w:sz w:val="22"/>
                <w:szCs w:val="22"/>
              </w:rPr>
            </w:pPr>
          </w:p>
        </w:tc>
        <w:tc>
          <w:tcPr>
            <w:tcW w:w="538" w:type="dxa"/>
          </w:tcPr>
          <w:p w14:paraId="7EAA28D3" w14:textId="77777777" w:rsidR="00BD631A" w:rsidRPr="007E73E4" w:rsidRDefault="00BD631A">
            <w:pPr>
              <w:rPr>
                <w:sz w:val="22"/>
                <w:szCs w:val="22"/>
              </w:rPr>
            </w:pPr>
          </w:p>
          <w:p w14:paraId="60ED2594" w14:textId="77777777" w:rsidR="00BD631A" w:rsidRPr="007E73E4" w:rsidRDefault="00BD631A">
            <w:pPr>
              <w:rPr>
                <w:sz w:val="22"/>
                <w:szCs w:val="22"/>
              </w:rPr>
            </w:pPr>
          </w:p>
        </w:tc>
        <w:tc>
          <w:tcPr>
            <w:tcW w:w="851" w:type="dxa"/>
          </w:tcPr>
          <w:p w14:paraId="04C79395" w14:textId="77777777" w:rsidR="00BD631A" w:rsidRPr="007E73E4" w:rsidRDefault="00BD631A">
            <w:pPr>
              <w:rPr>
                <w:sz w:val="22"/>
                <w:szCs w:val="22"/>
              </w:rPr>
            </w:pPr>
          </w:p>
          <w:p w14:paraId="7775756C" w14:textId="77777777" w:rsidR="00BD631A" w:rsidRPr="007E73E4" w:rsidRDefault="00BD631A">
            <w:pPr>
              <w:rPr>
                <w:sz w:val="22"/>
                <w:szCs w:val="22"/>
              </w:rPr>
            </w:pPr>
            <w:r w:rsidRPr="007E73E4">
              <w:rPr>
                <w:sz w:val="22"/>
                <w:szCs w:val="22"/>
              </w:rPr>
              <w:t xml:space="preserve"> </w:t>
            </w:r>
          </w:p>
        </w:tc>
        <w:tc>
          <w:tcPr>
            <w:tcW w:w="709" w:type="dxa"/>
          </w:tcPr>
          <w:p w14:paraId="70269636" w14:textId="77777777" w:rsidR="00BD631A" w:rsidRPr="007E73E4" w:rsidRDefault="00BD631A">
            <w:pPr>
              <w:rPr>
                <w:sz w:val="22"/>
                <w:szCs w:val="22"/>
              </w:rPr>
            </w:pPr>
          </w:p>
          <w:p w14:paraId="135D77B4" w14:textId="77777777" w:rsidR="00BD631A" w:rsidRPr="007E73E4" w:rsidRDefault="00BD631A">
            <w:pPr>
              <w:rPr>
                <w:sz w:val="22"/>
                <w:szCs w:val="22"/>
              </w:rPr>
            </w:pPr>
          </w:p>
        </w:tc>
        <w:tc>
          <w:tcPr>
            <w:tcW w:w="663" w:type="dxa"/>
          </w:tcPr>
          <w:p w14:paraId="03C5DF07" w14:textId="77777777" w:rsidR="00BD631A" w:rsidRPr="007E73E4" w:rsidRDefault="00BD631A">
            <w:pPr>
              <w:rPr>
                <w:sz w:val="22"/>
                <w:szCs w:val="22"/>
              </w:rPr>
            </w:pPr>
          </w:p>
          <w:p w14:paraId="5909D094" w14:textId="77777777" w:rsidR="00BD631A" w:rsidRPr="007E73E4" w:rsidRDefault="00BD631A">
            <w:pPr>
              <w:rPr>
                <w:sz w:val="22"/>
                <w:szCs w:val="22"/>
              </w:rPr>
            </w:pPr>
          </w:p>
        </w:tc>
        <w:tc>
          <w:tcPr>
            <w:tcW w:w="1980" w:type="dxa"/>
          </w:tcPr>
          <w:p w14:paraId="6893B114" w14:textId="77777777" w:rsidR="00BD631A" w:rsidRPr="007E73E4" w:rsidRDefault="00BD631A">
            <w:pPr>
              <w:rPr>
                <w:sz w:val="22"/>
                <w:szCs w:val="22"/>
              </w:rPr>
            </w:pPr>
          </w:p>
          <w:p w14:paraId="04FD3B03" w14:textId="77777777" w:rsidR="00BD631A" w:rsidRPr="007E73E4" w:rsidRDefault="00BD631A">
            <w:pPr>
              <w:rPr>
                <w:sz w:val="22"/>
                <w:szCs w:val="22"/>
              </w:rPr>
            </w:pPr>
          </w:p>
        </w:tc>
      </w:tr>
      <w:tr w:rsidR="0048202D" w:rsidRPr="007E73E4" w14:paraId="0999F849" w14:textId="77777777" w:rsidTr="006551ED">
        <w:tc>
          <w:tcPr>
            <w:tcW w:w="4640" w:type="dxa"/>
          </w:tcPr>
          <w:p w14:paraId="499BCE91" w14:textId="77777777" w:rsidR="00BD631A" w:rsidRPr="007E73E4" w:rsidRDefault="00BD631A" w:rsidP="00132BC2">
            <w:pPr>
              <w:jc w:val="both"/>
              <w:rPr>
                <w:sz w:val="22"/>
                <w:szCs w:val="22"/>
              </w:rPr>
            </w:pPr>
            <w:r w:rsidRPr="007E73E4">
              <w:rPr>
                <w:sz w:val="22"/>
                <w:szCs w:val="22"/>
              </w:rPr>
              <w:t>3.Impact financiar, plus/minus, din care:</w:t>
            </w:r>
          </w:p>
          <w:p w14:paraId="79507AB3" w14:textId="77777777" w:rsidR="00BD631A" w:rsidRPr="007E73E4" w:rsidRDefault="00BD631A" w:rsidP="00132BC2">
            <w:pPr>
              <w:jc w:val="both"/>
              <w:rPr>
                <w:sz w:val="22"/>
                <w:szCs w:val="22"/>
              </w:rPr>
            </w:pPr>
            <w:r w:rsidRPr="007E73E4">
              <w:rPr>
                <w:sz w:val="22"/>
                <w:szCs w:val="22"/>
              </w:rPr>
              <w:t>a) buget de stat</w:t>
            </w:r>
          </w:p>
          <w:p w14:paraId="1F8016B2" w14:textId="77777777" w:rsidR="00BD631A" w:rsidRPr="007E73E4" w:rsidRDefault="00BD631A" w:rsidP="00132BC2">
            <w:pPr>
              <w:jc w:val="both"/>
              <w:rPr>
                <w:sz w:val="22"/>
                <w:szCs w:val="22"/>
              </w:rPr>
            </w:pPr>
            <w:r w:rsidRPr="007E73E4">
              <w:rPr>
                <w:sz w:val="22"/>
                <w:szCs w:val="22"/>
              </w:rPr>
              <w:t>b)bugete locale</w:t>
            </w:r>
          </w:p>
        </w:tc>
        <w:tc>
          <w:tcPr>
            <w:tcW w:w="5620" w:type="dxa"/>
            <w:gridSpan w:val="6"/>
            <w:vAlign w:val="center"/>
          </w:tcPr>
          <w:p w14:paraId="0FF37346" w14:textId="61D2A0E1" w:rsidR="00BD631A" w:rsidRPr="007E73E4" w:rsidRDefault="008478A3" w:rsidP="00F45905">
            <w:pPr>
              <w:rPr>
                <w:sz w:val="22"/>
                <w:szCs w:val="22"/>
              </w:rPr>
            </w:pPr>
            <w:r w:rsidRPr="007E73E4">
              <w:rPr>
                <w:noProof/>
                <w:sz w:val="22"/>
                <w:szCs w:val="22"/>
              </w:rPr>
              <w:t>Nu</w:t>
            </w:r>
            <w:r w:rsidR="00F45905" w:rsidRPr="007E73E4">
              <w:rPr>
                <w:noProof/>
                <w:sz w:val="22"/>
                <w:szCs w:val="22"/>
              </w:rPr>
              <w:t xml:space="preserve"> este cazul</w:t>
            </w:r>
          </w:p>
        </w:tc>
      </w:tr>
      <w:tr w:rsidR="0048202D" w:rsidRPr="007E73E4" w14:paraId="3BEFFFB1" w14:textId="77777777" w:rsidTr="006551ED">
        <w:tc>
          <w:tcPr>
            <w:tcW w:w="4640" w:type="dxa"/>
          </w:tcPr>
          <w:p w14:paraId="72D6B04E" w14:textId="77777777" w:rsidR="00BD631A" w:rsidRPr="007E73E4" w:rsidRDefault="00BD631A" w:rsidP="00132BC2">
            <w:pPr>
              <w:jc w:val="both"/>
              <w:rPr>
                <w:sz w:val="22"/>
                <w:szCs w:val="22"/>
              </w:rPr>
            </w:pPr>
            <w:r w:rsidRPr="007E73E4">
              <w:rPr>
                <w:sz w:val="22"/>
                <w:szCs w:val="22"/>
              </w:rPr>
              <w:t xml:space="preserve">4. Propuneri pentru </w:t>
            </w:r>
          </w:p>
          <w:p w14:paraId="31368B7C" w14:textId="77777777" w:rsidR="00BD631A" w:rsidRPr="007E73E4" w:rsidRDefault="00BD631A" w:rsidP="00132BC2">
            <w:pPr>
              <w:jc w:val="both"/>
              <w:rPr>
                <w:sz w:val="22"/>
                <w:szCs w:val="22"/>
              </w:rPr>
            </w:pPr>
            <w:r w:rsidRPr="007E73E4">
              <w:rPr>
                <w:sz w:val="22"/>
                <w:szCs w:val="22"/>
              </w:rPr>
              <w:t>acoperirea creşterilor de cheltuieli</w:t>
            </w:r>
          </w:p>
        </w:tc>
        <w:tc>
          <w:tcPr>
            <w:tcW w:w="5620" w:type="dxa"/>
            <w:gridSpan w:val="6"/>
            <w:vAlign w:val="center"/>
          </w:tcPr>
          <w:p w14:paraId="1491E44C" w14:textId="38CB7BF3" w:rsidR="00BD631A" w:rsidRPr="007E73E4" w:rsidRDefault="00F45905" w:rsidP="00F45905">
            <w:pPr>
              <w:rPr>
                <w:noProof/>
                <w:sz w:val="22"/>
                <w:szCs w:val="22"/>
              </w:rPr>
            </w:pPr>
            <w:r w:rsidRPr="007E73E4">
              <w:rPr>
                <w:noProof/>
                <w:sz w:val="22"/>
                <w:szCs w:val="22"/>
              </w:rPr>
              <w:t>Nu este cazul</w:t>
            </w:r>
          </w:p>
        </w:tc>
      </w:tr>
      <w:tr w:rsidR="0048202D" w:rsidRPr="007E73E4" w14:paraId="33507B99" w14:textId="77777777" w:rsidTr="006551ED">
        <w:tc>
          <w:tcPr>
            <w:tcW w:w="4640" w:type="dxa"/>
          </w:tcPr>
          <w:p w14:paraId="0130F91B" w14:textId="77777777" w:rsidR="00BD631A" w:rsidRPr="007E73E4" w:rsidRDefault="00BD631A" w:rsidP="00132BC2">
            <w:pPr>
              <w:jc w:val="both"/>
              <w:rPr>
                <w:sz w:val="22"/>
                <w:szCs w:val="22"/>
              </w:rPr>
            </w:pPr>
            <w:r w:rsidRPr="007E73E4">
              <w:rPr>
                <w:sz w:val="22"/>
                <w:szCs w:val="22"/>
              </w:rPr>
              <w:t>5. Propuneri pentru acoperirea scăderilor  de venituri</w:t>
            </w:r>
          </w:p>
        </w:tc>
        <w:tc>
          <w:tcPr>
            <w:tcW w:w="5620" w:type="dxa"/>
            <w:gridSpan w:val="6"/>
            <w:vAlign w:val="center"/>
          </w:tcPr>
          <w:p w14:paraId="4ED11F14" w14:textId="60516150" w:rsidR="00BD631A" w:rsidRPr="007E73E4" w:rsidRDefault="00F45905" w:rsidP="00F45905">
            <w:pPr>
              <w:rPr>
                <w:noProof/>
                <w:sz w:val="22"/>
                <w:szCs w:val="22"/>
              </w:rPr>
            </w:pPr>
            <w:r w:rsidRPr="007E73E4">
              <w:rPr>
                <w:noProof/>
                <w:sz w:val="22"/>
                <w:szCs w:val="22"/>
              </w:rPr>
              <w:t>Nu este cazul</w:t>
            </w:r>
          </w:p>
          <w:p w14:paraId="47A22ACB" w14:textId="77777777" w:rsidR="00BD631A" w:rsidRPr="007E73E4" w:rsidRDefault="00BD631A" w:rsidP="00F45905">
            <w:pPr>
              <w:spacing w:line="360" w:lineRule="auto"/>
              <w:rPr>
                <w:noProof/>
                <w:sz w:val="22"/>
                <w:szCs w:val="22"/>
              </w:rPr>
            </w:pPr>
          </w:p>
        </w:tc>
      </w:tr>
      <w:tr w:rsidR="0048202D" w:rsidRPr="007E73E4" w14:paraId="14D9BF1F" w14:textId="77777777" w:rsidTr="006551ED">
        <w:tc>
          <w:tcPr>
            <w:tcW w:w="4640" w:type="dxa"/>
          </w:tcPr>
          <w:p w14:paraId="31A26BDB" w14:textId="77777777" w:rsidR="00BD631A" w:rsidRPr="007E73E4" w:rsidRDefault="00BD631A" w:rsidP="00132BC2">
            <w:pPr>
              <w:jc w:val="both"/>
              <w:rPr>
                <w:sz w:val="22"/>
                <w:szCs w:val="22"/>
              </w:rPr>
            </w:pPr>
            <w:r w:rsidRPr="007E73E4">
              <w:rPr>
                <w:sz w:val="22"/>
                <w:szCs w:val="22"/>
              </w:rPr>
              <w:lastRenderedPageBreak/>
              <w:t>6. Calcule detaliate privind fundamentarea modificărilor  veniturilor şi/sau cheltuielilor bugetare</w:t>
            </w:r>
          </w:p>
        </w:tc>
        <w:tc>
          <w:tcPr>
            <w:tcW w:w="5620" w:type="dxa"/>
            <w:gridSpan w:val="6"/>
            <w:vAlign w:val="center"/>
          </w:tcPr>
          <w:p w14:paraId="3F109124" w14:textId="109A24AC" w:rsidR="00BD631A" w:rsidRPr="007E73E4" w:rsidRDefault="00F45905" w:rsidP="00F45905">
            <w:pPr>
              <w:rPr>
                <w:noProof/>
                <w:sz w:val="22"/>
                <w:szCs w:val="22"/>
              </w:rPr>
            </w:pPr>
            <w:r w:rsidRPr="007E73E4">
              <w:rPr>
                <w:noProof/>
                <w:sz w:val="22"/>
                <w:szCs w:val="22"/>
              </w:rPr>
              <w:t>Nu este cazul</w:t>
            </w:r>
          </w:p>
          <w:p w14:paraId="799CF116" w14:textId="77777777" w:rsidR="00BD631A" w:rsidRPr="007E73E4" w:rsidRDefault="00BD631A" w:rsidP="00F45905">
            <w:pPr>
              <w:spacing w:line="360" w:lineRule="auto"/>
              <w:rPr>
                <w:noProof/>
                <w:sz w:val="22"/>
                <w:szCs w:val="22"/>
              </w:rPr>
            </w:pPr>
          </w:p>
        </w:tc>
      </w:tr>
      <w:tr w:rsidR="00BD631A" w:rsidRPr="007E73E4" w14:paraId="3EDCECE8" w14:textId="77777777" w:rsidTr="006551ED">
        <w:tc>
          <w:tcPr>
            <w:tcW w:w="4640" w:type="dxa"/>
          </w:tcPr>
          <w:p w14:paraId="2B57FB54" w14:textId="77777777" w:rsidR="00BD631A" w:rsidRDefault="00BD631A">
            <w:pPr>
              <w:rPr>
                <w:sz w:val="22"/>
                <w:szCs w:val="22"/>
              </w:rPr>
            </w:pPr>
            <w:r w:rsidRPr="007E73E4">
              <w:rPr>
                <w:sz w:val="22"/>
                <w:szCs w:val="22"/>
              </w:rPr>
              <w:t>7. Alte informaţii</w:t>
            </w:r>
          </w:p>
          <w:p w14:paraId="79C5E9F6" w14:textId="77777777" w:rsidR="007E73E4" w:rsidRDefault="007E73E4">
            <w:pPr>
              <w:rPr>
                <w:sz w:val="22"/>
                <w:szCs w:val="22"/>
              </w:rPr>
            </w:pPr>
          </w:p>
          <w:p w14:paraId="743D43C9" w14:textId="77777777" w:rsidR="007E73E4" w:rsidRDefault="007E73E4">
            <w:pPr>
              <w:rPr>
                <w:sz w:val="22"/>
                <w:szCs w:val="22"/>
              </w:rPr>
            </w:pPr>
          </w:p>
          <w:p w14:paraId="597A7697" w14:textId="77777777" w:rsidR="007E73E4" w:rsidRDefault="007E73E4">
            <w:pPr>
              <w:rPr>
                <w:sz w:val="22"/>
                <w:szCs w:val="22"/>
              </w:rPr>
            </w:pPr>
          </w:p>
          <w:p w14:paraId="0085D1EC" w14:textId="6D5E65F6" w:rsidR="007E73E4" w:rsidRPr="007E73E4" w:rsidRDefault="007E73E4">
            <w:pPr>
              <w:rPr>
                <w:sz w:val="22"/>
                <w:szCs w:val="22"/>
              </w:rPr>
            </w:pPr>
          </w:p>
        </w:tc>
        <w:tc>
          <w:tcPr>
            <w:tcW w:w="5620" w:type="dxa"/>
            <w:gridSpan w:val="6"/>
          </w:tcPr>
          <w:p w14:paraId="28D2ED0E" w14:textId="6756903A" w:rsidR="00BD631A" w:rsidRPr="007E73E4" w:rsidRDefault="008B3A84" w:rsidP="008B3A84">
            <w:pPr>
              <w:rPr>
                <w:sz w:val="22"/>
                <w:szCs w:val="22"/>
              </w:rPr>
            </w:pPr>
            <w:r>
              <w:rPr>
                <w:sz w:val="22"/>
                <w:szCs w:val="22"/>
              </w:rPr>
              <w:t>Nu au fost identificate</w:t>
            </w:r>
          </w:p>
        </w:tc>
      </w:tr>
    </w:tbl>
    <w:p w14:paraId="3C7955D0" w14:textId="203FA74E" w:rsidR="00F07718" w:rsidRPr="007E73E4" w:rsidRDefault="00F07718">
      <w:pPr>
        <w:jc w:val="both"/>
        <w:rPr>
          <w:b/>
          <w:sz w:val="22"/>
          <w:szCs w:val="22"/>
        </w:rPr>
      </w:pPr>
    </w:p>
    <w:p w14:paraId="45021F85" w14:textId="7D801664" w:rsidR="006551ED" w:rsidRPr="007E73E4" w:rsidRDefault="006551ED">
      <w:pPr>
        <w:jc w:val="both"/>
        <w:rPr>
          <w:b/>
          <w:sz w:val="22"/>
          <w:szCs w:val="22"/>
        </w:rPr>
      </w:pPr>
    </w:p>
    <w:p w14:paraId="235A8261" w14:textId="62488480" w:rsidR="00BE5D76" w:rsidRDefault="00BE5D76">
      <w:pPr>
        <w:jc w:val="both"/>
        <w:rPr>
          <w:b/>
          <w:sz w:val="22"/>
          <w:szCs w:val="22"/>
        </w:rPr>
      </w:pPr>
    </w:p>
    <w:p w14:paraId="7ED511B1" w14:textId="4F14BAB2" w:rsidR="007E73E4" w:rsidRDefault="007E73E4">
      <w:pPr>
        <w:jc w:val="both"/>
        <w:rPr>
          <w:b/>
          <w:sz w:val="22"/>
          <w:szCs w:val="22"/>
        </w:rPr>
      </w:pPr>
    </w:p>
    <w:p w14:paraId="15DDE056" w14:textId="64522E41" w:rsidR="00BD631A" w:rsidRPr="007E73E4" w:rsidRDefault="00205F5D">
      <w:pPr>
        <w:jc w:val="both"/>
        <w:rPr>
          <w:b/>
          <w:sz w:val="22"/>
          <w:szCs w:val="22"/>
        </w:rPr>
      </w:pPr>
      <w:r w:rsidRPr="007E73E4">
        <w:rPr>
          <w:b/>
          <w:sz w:val="22"/>
          <w:szCs w:val="22"/>
        </w:rPr>
        <w:t xml:space="preserve">   </w:t>
      </w:r>
      <w:r w:rsidR="00BD631A" w:rsidRPr="007E73E4">
        <w:rPr>
          <w:b/>
          <w:sz w:val="22"/>
          <w:szCs w:val="22"/>
        </w:rPr>
        <w:t>Secţiunea a 5-a - Efectele proiectului de act normativ asupra legislaţiei în vigoare</w:t>
      </w:r>
    </w:p>
    <w:p w14:paraId="3FC55685" w14:textId="1094FD2B" w:rsidR="006551ED" w:rsidRPr="007E73E4" w:rsidRDefault="006551ED">
      <w:pPr>
        <w:jc w:val="both"/>
        <w:rPr>
          <w:b/>
          <w:sz w:val="22"/>
          <w:szCs w:val="22"/>
        </w:rPr>
      </w:pPr>
    </w:p>
    <w:p w14:paraId="3EC10DB9" w14:textId="77777777" w:rsidR="006551ED" w:rsidRPr="007E73E4" w:rsidRDefault="006551ED">
      <w:pPr>
        <w:jc w:val="both"/>
        <w:rPr>
          <w:b/>
          <w:sz w:val="22"/>
          <w:szCs w:val="22"/>
        </w:rPr>
      </w:pPr>
    </w:p>
    <w:p w14:paraId="7BF3F990" w14:textId="77777777" w:rsidR="00BD631A" w:rsidRPr="007E73E4" w:rsidRDefault="00BD631A">
      <w:pPr>
        <w:jc w:val="both"/>
        <w:rPr>
          <w:b/>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4901"/>
      </w:tblGrid>
      <w:tr w:rsidR="0048202D" w:rsidRPr="007E73E4" w14:paraId="6FA46BCA" w14:textId="77777777" w:rsidTr="00132BC2">
        <w:trPr>
          <w:trHeight w:val="1789"/>
        </w:trPr>
        <w:tc>
          <w:tcPr>
            <w:tcW w:w="5349" w:type="dxa"/>
          </w:tcPr>
          <w:p w14:paraId="59B9FD9A" w14:textId="77777777" w:rsidR="00BD631A" w:rsidRPr="007E73E4" w:rsidRDefault="00BD631A" w:rsidP="00132BC2">
            <w:pPr>
              <w:jc w:val="both"/>
              <w:rPr>
                <w:sz w:val="22"/>
                <w:szCs w:val="22"/>
              </w:rPr>
            </w:pPr>
            <w:r w:rsidRPr="007E73E4">
              <w:rPr>
                <w:sz w:val="22"/>
                <w:szCs w:val="22"/>
              </w:rPr>
              <w:t>1.Măsuri normative necesare pentru aplicarea prevederilor proiectului de act normativ:</w:t>
            </w:r>
          </w:p>
          <w:p w14:paraId="4F42D330" w14:textId="77777777" w:rsidR="00BD631A" w:rsidRPr="007E73E4" w:rsidRDefault="00BD631A" w:rsidP="00132BC2">
            <w:pPr>
              <w:jc w:val="both"/>
              <w:rPr>
                <w:sz w:val="22"/>
                <w:szCs w:val="22"/>
              </w:rPr>
            </w:pPr>
            <w:r w:rsidRPr="007E73E4">
              <w:rPr>
                <w:sz w:val="22"/>
                <w:szCs w:val="22"/>
              </w:rPr>
              <w:t>a) acte normative în vigoare ce vor fi modificate sau abrogate, ca urmare a intrării în vigoare a proiectului de act normativ;</w:t>
            </w:r>
          </w:p>
          <w:p w14:paraId="51ACB4E6" w14:textId="77777777" w:rsidR="00BD631A" w:rsidRPr="007E73E4" w:rsidRDefault="00BD631A" w:rsidP="00132BC2">
            <w:pPr>
              <w:jc w:val="both"/>
              <w:rPr>
                <w:sz w:val="22"/>
                <w:szCs w:val="22"/>
              </w:rPr>
            </w:pPr>
            <w:r w:rsidRPr="007E73E4">
              <w:rPr>
                <w:sz w:val="22"/>
                <w:szCs w:val="22"/>
              </w:rPr>
              <w:t>b) acte normative ce urmează a fi elaborate în vederea implementării noilor dispoziţii.</w:t>
            </w:r>
          </w:p>
        </w:tc>
        <w:tc>
          <w:tcPr>
            <w:tcW w:w="4911" w:type="dxa"/>
          </w:tcPr>
          <w:p w14:paraId="69A4BAF0" w14:textId="77777777" w:rsidR="00BD631A" w:rsidRPr="007E73E4" w:rsidRDefault="00441AAB" w:rsidP="00F45905">
            <w:pPr>
              <w:jc w:val="both"/>
              <w:rPr>
                <w:sz w:val="22"/>
                <w:szCs w:val="22"/>
              </w:rPr>
            </w:pPr>
            <w:r w:rsidRPr="007E73E4">
              <w:rPr>
                <w:sz w:val="22"/>
                <w:szCs w:val="22"/>
              </w:rPr>
              <w:t>Proiectul de act normativ nu se referă la acest subiect</w:t>
            </w:r>
          </w:p>
        </w:tc>
      </w:tr>
      <w:tr w:rsidR="0048202D" w:rsidRPr="007E73E4" w14:paraId="66692A54" w14:textId="77777777" w:rsidTr="00132BC2">
        <w:trPr>
          <w:trHeight w:val="636"/>
        </w:trPr>
        <w:tc>
          <w:tcPr>
            <w:tcW w:w="5349" w:type="dxa"/>
          </w:tcPr>
          <w:p w14:paraId="11C82616" w14:textId="77777777" w:rsidR="00C75F5F" w:rsidRPr="007E73E4" w:rsidRDefault="00C75F5F" w:rsidP="00132BC2">
            <w:pPr>
              <w:pStyle w:val="HTMLPreformatted"/>
              <w:shd w:val="clear" w:color="auto" w:fill="FFFFFF"/>
              <w:jc w:val="both"/>
              <w:rPr>
                <w:rFonts w:ascii="Times New Roman" w:hAnsi="Times New Roman" w:cs="Times New Roman"/>
                <w:sz w:val="22"/>
                <w:szCs w:val="22"/>
              </w:rPr>
            </w:pPr>
            <w:r w:rsidRPr="007E73E4">
              <w:rPr>
                <w:rFonts w:ascii="Times New Roman" w:hAnsi="Times New Roman" w:cs="Times New Roman"/>
                <w:sz w:val="22"/>
                <w:szCs w:val="22"/>
              </w:rPr>
              <w:t>1^1. Compatibilitatea proiectului de act normativ cu legislaţia în domeniul achiziţiilor publice</w:t>
            </w:r>
          </w:p>
        </w:tc>
        <w:tc>
          <w:tcPr>
            <w:tcW w:w="4911" w:type="dxa"/>
          </w:tcPr>
          <w:p w14:paraId="4669DDA7" w14:textId="77777777" w:rsidR="00C75F5F" w:rsidRPr="007E73E4" w:rsidRDefault="00C75F5F" w:rsidP="00F45905">
            <w:pPr>
              <w:jc w:val="both"/>
              <w:rPr>
                <w:sz w:val="22"/>
                <w:szCs w:val="22"/>
              </w:rPr>
            </w:pPr>
            <w:r w:rsidRPr="007E73E4">
              <w:rPr>
                <w:sz w:val="22"/>
                <w:szCs w:val="22"/>
              </w:rPr>
              <w:t>Proiectul de act normativ nu se referă la acest subiect</w:t>
            </w:r>
          </w:p>
        </w:tc>
      </w:tr>
      <w:tr w:rsidR="0048202D" w:rsidRPr="007E73E4" w14:paraId="71160D5E" w14:textId="77777777" w:rsidTr="00132BC2">
        <w:tc>
          <w:tcPr>
            <w:tcW w:w="5349" w:type="dxa"/>
          </w:tcPr>
          <w:p w14:paraId="6B89D079" w14:textId="77777777" w:rsidR="00BD631A" w:rsidRPr="007E73E4" w:rsidRDefault="00BD631A" w:rsidP="00132BC2">
            <w:pPr>
              <w:jc w:val="both"/>
              <w:rPr>
                <w:sz w:val="22"/>
                <w:szCs w:val="22"/>
              </w:rPr>
            </w:pPr>
            <w:r w:rsidRPr="007E73E4">
              <w:rPr>
                <w:sz w:val="22"/>
                <w:szCs w:val="22"/>
              </w:rPr>
              <w:t>2. Conformitatea  proiectului de act normativ cu legislaţia comunitară în cazul proiectelor ce transpun prevederi comunitare</w:t>
            </w:r>
          </w:p>
        </w:tc>
        <w:tc>
          <w:tcPr>
            <w:tcW w:w="4911" w:type="dxa"/>
            <w:vAlign w:val="center"/>
          </w:tcPr>
          <w:p w14:paraId="210FAABE" w14:textId="77777777" w:rsidR="00BD631A" w:rsidRPr="007E73E4" w:rsidRDefault="00CA6A8E" w:rsidP="00F45905">
            <w:pPr>
              <w:jc w:val="both"/>
              <w:rPr>
                <w:sz w:val="22"/>
                <w:szCs w:val="22"/>
              </w:rPr>
            </w:pPr>
            <w:r w:rsidRPr="007E73E4">
              <w:rPr>
                <w:sz w:val="22"/>
                <w:szCs w:val="22"/>
              </w:rPr>
              <w:t>Proiectul de act normativ nu se referă la acest subiect</w:t>
            </w:r>
          </w:p>
        </w:tc>
      </w:tr>
      <w:tr w:rsidR="0048202D" w:rsidRPr="007E73E4" w14:paraId="1045B776" w14:textId="77777777" w:rsidTr="00132BC2">
        <w:tc>
          <w:tcPr>
            <w:tcW w:w="5349" w:type="dxa"/>
          </w:tcPr>
          <w:p w14:paraId="760BC0E3" w14:textId="77777777" w:rsidR="00BD631A" w:rsidRPr="007E73E4" w:rsidRDefault="00BD631A" w:rsidP="00132BC2">
            <w:pPr>
              <w:jc w:val="both"/>
              <w:rPr>
                <w:sz w:val="22"/>
                <w:szCs w:val="22"/>
              </w:rPr>
            </w:pPr>
            <w:r w:rsidRPr="007E73E4">
              <w:rPr>
                <w:sz w:val="22"/>
                <w:szCs w:val="22"/>
              </w:rPr>
              <w:t>4. Hotărâri ale Curţii de Justiţie a Uniunii Europene</w:t>
            </w:r>
          </w:p>
        </w:tc>
        <w:tc>
          <w:tcPr>
            <w:tcW w:w="4911" w:type="dxa"/>
            <w:vAlign w:val="center"/>
          </w:tcPr>
          <w:p w14:paraId="3BF3BA7A" w14:textId="77777777" w:rsidR="00BD631A" w:rsidRPr="007E73E4" w:rsidRDefault="00BD631A" w:rsidP="00F45905">
            <w:pPr>
              <w:jc w:val="both"/>
              <w:rPr>
                <w:sz w:val="22"/>
                <w:szCs w:val="22"/>
              </w:rPr>
            </w:pPr>
            <w:r w:rsidRPr="007E73E4">
              <w:rPr>
                <w:sz w:val="22"/>
                <w:szCs w:val="22"/>
              </w:rPr>
              <w:t>Proiectul de act normativ nu se referă la acest subiect</w:t>
            </w:r>
          </w:p>
        </w:tc>
      </w:tr>
      <w:tr w:rsidR="0048202D" w:rsidRPr="007E73E4" w14:paraId="17329153" w14:textId="77777777" w:rsidTr="00132BC2">
        <w:tc>
          <w:tcPr>
            <w:tcW w:w="5349" w:type="dxa"/>
          </w:tcPr>
          <w:p w14:paraId="5D9BD4E0" w14:textId="77777777" w:rsidR="00BD631A" w:rsidRPr="007E73E4" w:rsidRDefault="00BD631A" w:rsidP="00132BC2">
            <w:pPr>
              <w:jc w:val="both"/>
              <w:rPr>
                <w:sz w:val="22"/>
                <w:szCs w:val="22"/>
              </w:rPr>
            </w:pPr>
            <w:r w:rsidRPr="007E73E4">
              <w:rPr>
                <w:sz w:val="22"/>
                <w:szCs w:val="22"/>
              </w:rPr>
              <w:t>5. Alte acte normative şi/sau documente internaţionale din care decurg angajamente</w:t>
            </w:r>
          </w:p>
        </w:tc>
        <w:tc>
          <w:tcPr>
            <w:tcW w:w="4911" w:type="dxa"/>
            <w:vAlign w:val="center"/>
          </w:tcPr>
          <w:p w14:paraId="3E427941" w14:textId="77777777" w:rsidR="00BD631A" w:rsidRPr="007E73E4" w:rsidRDefault="00BD631A" w:rsidP="00F45905">
            <w:pPr>
              <w:jc w:val="both"/>
              <w:rPr>
                <w:sz w:val="22"/>
                <w:szCs w:val="22"/>
              </w:rPr>
            </w:pPr>
            <w:r w:rsidRPr="007E73E4">
              <w:rPr>
                <w:sz w:val="22"/>
                <w:szCs w:val="22"/>
              </w:rPr>
              <w:t>Proiectul de act normativ nu se referă la acest subiect</w:t>
            </w:r>
          </w:p>
        </w:tc>
      </w:tr>
      <w:tr w:rsidR="0048202D" w:rsidRPr="007E73E4" w14:paraId="51E0F70B" w14:textId="77777777" w:rsidTr="00132BC2">
        <w:tc>
          <w:tcPr>
            <w:tcW w:w="5349" w:type="dxa"/>
          </w:tcPr>
          <w:p w14:paraId="09FDE769" w14:textId="77777777" w:rsidR="00BD631A" w:rsidRPr="007E73E4" w:rsidRDefault="00BD631A" w:rsidP="00132BC2">
            <w:pPr>
              <w:jc w:val="both"/>
              <w:rPr>
                <w:sz w:val="22"/>
                <w:szCs w:val="22"/>
              </w:rPr>
            </w:pPr>
            <w:r w:rsidRPr="007E73E4">
              <w:rPr>
                <w:sz w:val="22"/>
                <w:szCs w:val="22"/>
              </w:rPr>
              <w:t>6.Alte informaţii</w:t>
            </w:r>
          </w:p>
        </w:tc>
        <w:tc>
          <w:tcPr>
            <w:tcW w:w="4911" w:type="dxa"/>
            <w:vAlign w:val="center"/>
          </w:tcPr>
          <w:p w14:paraId="6CA35AD8" w14:textId="77777777" w:rsidR="00BD631A" w:rsidRPr="007E73E4" w:rsidRDefault="00BD631A" w:rsidP="00F45905">
            <w:pPr>
              <w:jc w:val="both"/>
              <w:rPr>
                <w:sz w:val="22"/>
                <w:szCs w:val="22"/>
              </w:rPr>
            </w:pPr>
            <w:r w:rsidRPr="007E73E4">
              <w:rPr>
                <w:sz w:val="22"/>
                <w:szCs w:val="22"/>
              </w:rPr>
              <w:t>Nu au fost identificate</w:t>
            </w:r>
          </w:p>
        </w:tc>
      </w:tr>
    </w:tbl>
    <w:p w14:paraId="0F18AB57" w14:textId="77777777" w:rsidR="006551ED" w:rsidRPr="007E73E4" w:rsidRDefault="006551ED" w:rsidP="006551ED">
      <w:pPr>
        <w:rPr>
          <w:b/>
          <w:sz w:val="22"/>
          <w:szCs w:val="22"/>
        </w:rPr>
      </w:pPr>
    </w:p>
    <w:p w14:paraId="6DFD61CE" w14:textId="77777777" w:rsidR="006551ED" w:rsidRPr="007E73E4" w:rsidRDefault="006551ED" w:rsidP="006551ED">
      <w:pPr>
        <w:rPr>
          <w:b/>
          <w:sz w:val="22"/>
          <w:szCs w:val="22"/>
        </w:rPr>
      </w:pPr>
    </w:p>
    <w:p w14:paraId="3E725476" w14:textId="15C7FBEB" w:rsidR="00F07718" w:rsidRPr="007E73E4" w:rsidRDefault="006551ED" w:rsidP="006551ED">
      <w:pPr>
        <w:jc w:val="both"/>
        <w:rPr>
          <w:b/>
          <w:sz w:val="22"/>
          <w:szCs w:val="22"/>
        </w:rPr>
      </w:pPr>
      <w:r w:rsidRPr="007E73E4">
        <w:rPr>
          <w:b/>
          <w:sz w:val="22"/>
          <w:szCs w:val="22"/>
        </w:rPr>
        <w:t xml:space="preserve">    Secţiunea a 5-a</w:t>
      </w:r>
      <w:r w:rsidR="00120D76" w:rsidRPr="007E73E4">
        <w:rPr>
          <w:b/>
          <w:sz w:val="22"/>
          <w:szCs w:val="22"/>
        </w:rPr>
        <w:t xml:space="preserve"> </w:t>
      </w:r>
      <w:r w:rsidRPr="007E73E4">
        <w:rPr>
          <w:b/>
          <w:sz w:val="22"/>
          <w:szCs w:val="22"/>
        </w:rPr>
        <w:t xml:space="preserve">- </w:t>
      </w:r>
      <w:r w:rsidR="00120D76" w:rsidRPr="007E73E4">
        <w:rPr>
          <w:b/>
          <w:sz w:val="22"/>
          <w:szCs w:val="22"/>
        </w:rPr>
        <w:t>Consultările efectuate în vederea elaborării proiectului de act normativ</w:t>
      </w:r>
    </w:p>
    <w:p w14:paraId="341827C9" w14:textId="77777777" w:rsidR="006551ED" w:rsidRPr="007E73E4" w:rsidRDefault="006551ED" w:rsidP="006551ED">
      <w:pPr>
        <w:jc w:val="both"/>
        <w:rPr>
          <w:b/>
          <w:sz w:val="22"/>
          <w:szCs w:val="22"/>
        </w:rPr>
      </w:pPr>
    </w:p>
    <w:p w14:paraId="431F092F" w14:textId="77777777" w:rsidR="00120D76" w:rsidRPr="007E73E4" w:rsidRDefault="00120D76" w:rsidP="00120D76">
      <w:pPr>
        <w:jc w:val="center"/>
        <w:rPr>
          <w:b/>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4901"/>
      </w:tblGrid>
      <w:tr w:rsidR="0048202D" w:rsidRPr="007E73E4" w14:paraId="41E2299B" w14:textId="77777777" w:rsidTr="00132BC2">
        <w:tc>
          <w:tcPr>
            <w:tcW w:w="5349" w:type="dxa"/>
          </w:tcPr>
          <w:p w14:paraId="18B03382" w14:textId="77777777" w:rsidR="00BD631A" w:rsidRPr="007E73E4" w:rsidRDefault="00BD631A">
            <w:pPr>
              <w:jc w:val="both"/>
              <w:rPr>
                <w:sz w:val="22"/>
                <w:szCs w:val="22"/>
              </w:rPr>
            </w:pPr>
            <w:r w:rsidRPr="007E73E4">
              <w:rPr>
                <w:sz w:val="22"/>
                <w:szCs w:val="22"/>
              </w:rPr>
              <w:t>1.Informaţii privind procesul de consultare cu organizaţii neguvernamentale, instituite de cercetare şi alte organisme implicate</w:t>
            </w:r>
          </w:p>
        </w:tc>
        <w:tc>
          <w:tcPr>
            <w:tcW w:w="4911" w:type="dxa"/>
          </w:tcPr>
          <w:p w14:paraId="3AB4B720" w14:textId="77777777" w:rsidR="00BD631A" w:rsidRPr="007E73E4" w:rsidRDefault="001F3B9B" w:rsidP="00120D76">
            <w:pPr>
              <w:jc w:val="both"/>
              <w:rPr>
                <w:sz w:val="22"/>
                <w:szCs w:val="22"/>
              </w:rPr>
            </w:pPr>
            <w:r w:rsidRPr="007E73E4">
              <w:rPr>
                <w:sz w:val="22"/>
                <w:szCs w:val="22"/>
              </w:rPr>
              <w:t>Proiectul de act normativ nu se referă la acest subiect</w:t>
            </w:r>
          </w:p>
        </w:tc>
      </w:tr>
      <w:tr w:rsidR="0048202D" w:rsidRPr="007E73E4" w14:paraId="31680EAA" w14:textId="77777777" w:rsidTr="00132BC2">
        <w:tc>
          <w:tcPr>
            <w:tcW w:w="5349" w:type="dxa"/>
          </w:tcPr>
          <w:p w14:paraId="1C62F721" w14:textId="77777777" w:rsidR="00BD631A" w:rsidRPr="007E73E4" w:rsidRDefault="00BD631A">
            <w:pPr>
              <w:jc w:val="both"/>
              <w:rPr>
                <w:sz w:val="22"/>
                <w:szCs w:val="22"/>
              </w:rPr>
            </w:pPr>
            <w:r w:rsidRPr="007E73E4">
              <w:rPr>
                <w:sz w:val="22"/>
                <w:szCs w:val="22"/>
              </w:rPr>
              <w:t>2.Fundamentarea alegerii organizaţiilor cu care a avut loc consultarea, precum şi a modului în care activitatea acestor organizaţii este legată de obiectivul proiectului de act normativ</w:t>
            </w:r>
          </w:p>
        </w:tc>
        <w:tc>
          <w:tcPr>
            <w:tcW w:w="4911" w:type="dxa"/>
            <w:vAlign w:val="center"/>
          </w:tcPr>
          <w:p w14:paraId="1BAF5BF9" w14:textId="27500ACC" w:rsidR="00BD631A" w:rsidRPr="007E73E4" w:rsidRDefault="00F45905" w:rsidP="00F45905">
            <w:pPr>
              <w:spacing w:line="360" w:lineRule="auto"/>
              <w:rPr>
                <w:sz w:val="22"/>
                <w:szCs w:val="22"/>
              </w:rPr>
            </w:pPr>
            <w:r w:rsidRPr="007E73E4">
              <w:rPr>
                <w:sz w:val="22"/>
                <w:szCs w:val="22"/>
              </w:rPr>
              <w:t>Nu este cazul</w:t>
            </w:r>
          </w:p>
        </w:tc>
      </w:tr>
      <w:tr w:rsidR="0048202D" w:rsidRPr="007E73E4" w14:paraId="2EFF76B7" w14:textId="77777777" w:rsidTr="00132BC2">
        <w:tc>
          <w:tcPr>
            <w:tcW w:w="5349" w:type="dxa"/>
          </w:tcPr>
          <w:p w14:paraId="000753DF" w14:textId="77777777" w:rsidR="00BD631A" w:rsidRPr="007E73E4" w:rsidRDefault="00BD631A">
            <w:pPr>
              <w:jc w:val="both"/>
              <w:rPr>
                <w:sz w:val="22"/>
                <w:szCs w:val="22"/>
              </w:rPr>
            </w:pPr>
            <w:r w:rsidRPr="007E73E4">
              <w:rPr>
                <w:sz w:val="22"/>
                <w:szCs w:val="22"/>
              </w:rPr>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4911" w:type="dxa"/>
            <w:vAlign w:val="center"/>
          </w:tcPr>
          <w:p w14:paraId="342949C2" w14:textId="77777777" w:rsidR="00BD631A" w:rsidRPr="007E73E4" w:rsidRDefault="00C75F5F" w:rsidP="00F45905">
            <w:pPr>
              <w:jc w:val="both"/>
              <w:rPr>
                <w:sz w:val="22"/>
                <w:szCs w:val="22"/>
              </w:rPr>
            </w:pPr>
            <w:r w:rsidRPr="007E73E4">
              <w:rPr>
                <w:sz w:val="22"/>
                <w:szCs w:val="22"/>
              </w:rPr>
              <w:t>Proiectul de act normativ nu se referă la acest subiect</w:t>
            </w:r>
          </w:p>
        </w:tc>
      </w:tr>
      <w:tr w:rsidR="0048202D" w:rsidRPr="007E73E4" w14:paraId="56FA90E2" w14:textId="77777777" w:rsidTr="00132BC2">
        <w:tc>
          <w:tcPr>
            <w:tcW w:w="5349" w:type="dxa"/>
          </w:tcPr>
          <w:p w14:paraId="197A066D" w14:textId="77777777" w:rsidR="00BD631A" w:rsidRPr="007E73E4" w:rsidRDefault="00BD631A" w:rsidP="00132BC2">
            <w:pPr>
              <w:jc w:val="both"/>
              <w:rPr>
                <w:sz w:val="22"/>
                <w:szCs w:val="22"/>
              </w:rPr>
            </w:pPr>
            <w:r w:rsidRPr="007E73E4">
              <w:rPr>
                <w:sz w:val="22"/>
                <w:szCs w:val="22"/>
              </w:rPr>
              <w:t xml:space="preserve">4.Consultările desfăşurate în cadrul consiliilor interministeriale, în conformitate cu prevederile Hotărârii </w:t>
            </w:r>
            <w:r w:rsidRPr="007E73E4">
              <w:rPr>
                <w:sz w:val="22"/>
                <w:szCs w:val="22"/>
              </w:rPr>
              <w:lastRenderedPageBreak/>
              <w:t>Guvernului nr. 750/2005 privind constituirea consiliilor interministeriale permanente</w:t>
            </w:r>
          </w:p>
        </w:tc>
        <w:tc>
          <w:tcPr>
            <w:tcW w:w="4911" w:type="dxa"/>
            <w:vAlign w:val="center"/>
          </w:tcPr>
          <w:p w14:paraId="7955430F" w14:textId="77777777" w:rsidR="00BD631A" w:rsidRPr="007E73E4" w:rsidRDefault="00BD631A" w:rsidP="00F45905">
            <w:pPr>
              <w:jc w:val="both"/>
              <w:rPr>
                <w:sz w:val="22"/>
                <w:szCs w:val="22"/>
              </w:rPr>
            </w:pPr>
            <w:r w:rsidRPr="007E73E4">
              <w:rPr>
                <w:sz w:val="22"/>
                <w:szCs w:val="22"/>
              </w:rPr>
              <w:lastRenderedPageBreak/>
              <w:t>Proiectul de act normativ nu se referă la acest subiect</w:t>
            </w:r>
          </w:p>
        </w:tc>
      </w:tr>
      <w:tr w:rsidR="0048202D" w:rsidRPr="007E73E4" w14:paraId="6C03669B" w14:textId="77777777" w:rsidTr="00132BC2">
        <w:tc>
          <w:tcPr>
            <w:tcW w:w="5349" w:type="dxa"/>
          </w:tcPr>
          <w:p w14:paraId="65950072" w14:textId="77777777" w:rsidR="00BD631A" w:rsidRPr="007E73E4" w:rsidRDefault="00BD631A">
            <w:pPr>
              <w:rPr>
                <w:sz w:val="22"/>
                <w:szCs w:val="22"/>
              </w:rPr>
            </w:pPr>
            <w:r w:rsidRPr="007E73E4">
              <w:rPr>
                <w:sz w:val="22"/>
                <w:szCs w:val="22"/>
              </w:rPr>
              <w:t>5.Informaţii privind avizarea de către:</w:t>
            </w:r>
          </w:p>
          <w:p w14:paraId="203F0728" w14:textId="77777777" w:rsidR="00BD631A" w:rsidRPr="007E73E4" w:rsidRDefault="00BD631A">
            <w:pPr>
              <w:rPr>
                <w:sz w:val="22"/>
                <w:szCs w:val="22"/>
              </w:rPr>
            </w:pPr>
            <w:r w:rsidRPr="007E73E4">
              <w:rPr>
                <w:sz w:val="22"/>
                <w:szCs w:val="22"/>
              </w:rPr>
              <w:t>a) Consiliul legislativ</w:t>
            </w:r>
          </w:p>
          <w:p w14:paraId="2D025908" w14:textId="77777777" w:rsidR="00BD631A" w:rsidRPr="007E73E4" w:rsidRDefault="00BD631A">
            <w:pPr>
              <w:rPr>
                <w:sz w:val="22"/>
                <w:szCs w:val="22"/>
              </w:rPr>
            </w:pPr>
            <w:r w:rsidRPr="007E73E4">
              <w:rPr>
                <w:sz w:val="22"/>
                <w:szCs w:val="22"/>
              </w:rPr>
              <w:t>b)Consiliul Suprem de Apărare a Ţării</w:t>
            </w:r>
          </w:p>
          <w:p w14:paraId="4E1E5708" w14:textId="77777777" w:rsidR="00BD631A" w:rsidRPr="007E73E4" w:rsidRDefault="00BD631A">
            <w:pPr>
              <w:rPr>
                <w:sz w:val="22"/>
                <w:szCs w:val="22"/>
              </w:rPr>
            </w:pPr>
            <w:r w:rsidRPr="007E73E4">
              <w:rPr>
                <w:sz w:val="22"/>
                <w:szCs w:val="22"/>
              </w:rPr>
              <w:t>c)Consiliul Economic şi Social</w:t>
            </w:r>
          </w:p>
          <w:p w14:paraId="7CFDA08C" w14:textId="77777777" w:rsidR="00BD631A" w:rsidRPr="007E73E4" w:rsidRDefault="00BD631A">
            <w:pPr>
              <w:rPr>
                <w:sz w:val="22"/>
                <w:szCs w:val="22"/>
              </w:rPr>
            </w:pPr>
            <w:r w:rsidRPr="007E73E4">
              <w:rPr>
                <w:sz w:val="22"/>
                <w:szCs w:val="22"/>
              </w:rPr>
              <w:t xml:space="preserve">d)Consiliul Concurenţei </w:t>
            </w:r>
          </w:p>
          <w:p w14:paraId="2905287A" w14:textId="77777777" w:rsidR="00BD631A" w:rsidRPr="007E73E4" w:rsidRDefault="00BD631A">
            <w:pPr>
              <w:rPr>
                <w:sz w:val="22"/>
                <w:szCs w:val="22"/>
              </w:rPr>
            </w:pPr>
            <w:r w:rsidRPr="007E73E4">
              <w:rPr>
                <w:sz w:val="22"/>
                <w:szCs w:val="22"/>
              </w:rPr>
              <w:t>e)Curtea de Conturi</w:t>
            </w:r>
          </w:p>
        </w:tc>
        <w:tc>
          <w:tcPr>
            <w:tcW w:w="4911" w:type="dxa"/>
            <w:vAlign w:val="center"/>
          </w:tcPr>
          <w:p w14:paraId="45EE8F7C" w14:textId="77777777" w:rsidR="00BD631A" w:rsidRPr="007E73E4" w:rsidRDefault="00BD631A" w:rsidP="00F45905">
            <w:pPr>
              <w:jc w:val="both"/>
              <w:rPr>
                <w:sz w:val="22"/>
                <w:szCs w:val="22"/>
              </w:rPr>
            </w:pPr>
            <w:r w:rsidRPr="007E73E4">
              <w:rPr>
                <w:sz w:val="22"/>
                <w:szCs w:val="22"/>
              </w:rPr>
              <w:t>Proiectul de act normativ a fost</w:t>
            </w:r>
            <w:r w:rsidR="001661CF" w:rsidRPr="007E73E4">
              <w:rPr>
                <w:sz w:val="22"/>
                <w:szCs w:val="22"/>
              </w:rPr>
              <w:t xml:space="preserve"> avizat de Consiliul Legislativ</w:t>
            </w:r>
          </w:p>
        </w:tc>
      </w:tr>
      <w:tr w:rsidR="00BD631A" w:rsidRPr="007E73E4" w14:paraId="389B19AE" w14:textId="77777777" w:rsidTr="00132BC2">
        <w:tc>
          <w:tcPr>
            <w:tcW w:w="5349" w:type="dxa"/>
          </w:tcPr>
          <w:p w14:paraId="59842AFD" w14:textId="77777777" w:rsidR="00BD631A" w:rsidRPr="007E73E4" w:rsidRDefault="00BD631A">
            <w:pPr>
              <w:rPr>
                <w:sz w:val="22"/>
                <w:szCs w:val="22"/>
              </w:rPr>
            </w:pPr>
            <w:r w:rsidRPr="007E73E4">
              <w:rPr>
                <w:sz w:val="22"/>
                <w:szCs w:val="22"/>
              </w:rPr>
              <w:t>6.Alte informaţii</w:t>
            </w:r>
          </w:p>
        </w:tc>
        <w:tc>
          <w:tcPr>
            <w:tcW w:w="4911" w:type="dxa"/>
            <w:vAlign w:val="center"/>
          </w:tcPr>
          <w:p w14:paraId="3E720E4B" w14:textId="77777777" w:rsidR="00BD631A" w:rsidRPr="007E73E4" w:rsidRDefault="00BD631A" w:rsidP="00F45905">
            <w:pPr>
              <w:spacing w:line="360" w:lineRule="auto"/>
              <w:jc w:val="both"/>
              <w:rPr>
                <w:sz w:val="22"/>
                <w:szCs w:val="22"/>
              </w:rPr>
            </w:pPr>
            <w:r w:rsidRPr="007E73E4">
              <w:rPr>
                <w:sz w:val="22"/>
                <w:szCs w:val="22"/>
              </w:rPr>
              <w:t>Nu au fost identificate</w:t>
            </w:r>
          </w:p>
        </w:tc>
      </w:tr>
    </w:tbl>
    <w:p w14:paraId="3134F829" w14:textId="77777777" w:rsidR="0013115C" w:rsidRPr="007E73E4" w:rsidRDefault="0013115C" w:rsidP="00A32AA7">
      <w:pPr>
        <w:pStyle w:val="BodyTextIndent2"/>
        <w:spacing w:line="240" w:lineRule="auto"/>
        <w:ind w:left="180" w:right="98" w:firstLine="0"/>
        <w:jc w:val="both"/>
        <w:rPr>
          <w:bCs w:val="0"/>
          <w:sz w:val="22"/>
          <w:szCs w:val="22"/>
        </w:rPr>
      </w:pPr>
    </w:p>
    <w:p w14:paraId="733CCA5D" w14:textId="77777777" w:rsidR="007E73E4" w:rsidRDefault="007E73E4" w:rsidP="00A32AA7">
      <w:pPr>
        <w:pStyle w:val="BodyTextIndent2"/>
        <w:spacing w:line="240" w:lineRule="auto"/>
        <w:ind w:left="180" w:right="98" w:firstLine="0"/>
        <w:jc w:val="both"/>
        <w:rPr>
          <w:bCs w:val="0"/>
          <w:sz w:val="22"/>
          <w:szCs w:val="22"/>
        </w:rPr>
      </w:pPr>
    </w:p>
    <w:p w14:paraId="58210F77" w14:textId="4A24722B" w:rsidR="00F07718" w:rsidRPr="007E73E4" w:rsidRDefault="00BD631A" w:rsidP="00A32AA7">
      <w:pPr>
        <w:pStyle w:val="BodyTextIndent2"/>
        <w:spacing w:line="240" w:lineRule="auto"/>
        <w:ind w:left="180" w:right="98" w:firstLine="0"/>
        <w:jc w:val="both"/>
        <w:rPr>
          <w:bCs w:val="0"/>
          <w:sz w:val="22"/>
          <w:szCs w:val="22"/>
        </w:rPr>
      </w:pPr>
      <w:r w:rsidRPr="007E73E4">
        <w:rPr>
          <w:bCs w:val="0"/>
          <w:sz w:val="22"/>
          <w:szCs w:val="22"/>
        </w:rPr>
        <w:t>Secţiunea a 7-a  Activităţi de informare publică privind elaborarea şi implementarea proiectului de act normativ</w:t>
      </w:r>
    </w:p>
    <w:p w14:paraId="2CE5FCEB" w14:textId="77777777" w:rsidR="006551ED" w:rsidRPr="007E73E4" w:rsidRDefault="006551ED" w:rsidP="00A32AA7">
      <w:pPr>
        <w:pStyle w:val="BodyTextIndent2"/>
        <w:spacing w:line="240" w:lineRule="auto"/>
        <w:ind w:left="180" w:right="98" w:firstLine="0"/>
        <w:jc w:val="both"/>
        <w:rPr>
          <w:bCs w:val="0"/>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3"/>
        <w:gridCol w:w="5467"/>
      </w:tblGrid>
      <w:tr w:rsidR="0048202D" w:rsidRPr="007E73E4" w14:paraId="359F299B" w14:textId="77777777" w:rsidTr="00132BC2">
        <w:tc>
          <w:tcPr>
            <w:tcW w:w="4782" w:type="dxa"/>
          </w:tcPr>
          <w:p w14:paraId="075B2884" w14:textId="77777777" w:rsidR="00BD631A" w:rsidRPr="007E73E4" w:rsidRDefault="00BD631A" w:rsidP="00132BC2">
            <w:pPr>
              <w:jc w:val="both"/>
              <w:rPr>
                <w:sz w:val="22"/>
                <w:szCs w:val="22"/>
              </w:rPr>
            </w:pPr>
            <w:r w:rsidRPr="007E73E4">
              <w:rPr>
                <w:sz w:val="22"/>
                <w:szCs w:val="22"/>
              </w:rPr>
              <w:t>1.Informarea societăţii civile cu privire la necesitatea elaborării proiectului de act normativ</w:t>
            </w:r>
          </w:p>
        </w:tc>
        <w:tc>
          <w:tcPr>
            <w:tcW w:w="5478" w:type="dxa"/>
          </w:tcPr>
          <w:p w14:paraId="4F2E1317" w14:textId="7CF03BC5" w:rsidR="00BD631A" w:rsidRPr="007E73E4" w:rsidRDefault="001431E5" w:rsidP="00F45905">
            <w:pPr>
              <w:jc w:val="both"/>
              <w:rPr>
                <w:sz w:val="22"/>
                <w:szCs w:val="22"/>
              </w:rPr>
            </w:pPr>
            <w:r w:rsidRPr="001431E5">
              <w:rPr>
                <w:sz w:val="22"/>
                <w:szCs w:val="22"/>
              </w:rPr>
              <w:t xml:space="preserve">Prezentul proiect de act normativ respectă prevederile art. 7 din Legea nr. 52/2003 privind transparența decizională în administrația publică, republicată, și a fost publicat în dezbatere publică pe pagina de internet a Ministerului Investițiilor și Proiectelor Europene la data de </w:t>
            </w:r>
            <w:r w:rsidR="00AC64A7">
              <w:rPr>
                <w:sz w:val="22"/>
                <w:szCs w:val="22"/>
              </w:rPr>
              <w:t xml:space="preserve"> 14.04.2021.</w:t>
            </w:r>
          </w:p>
        </w:tc>
      </w:tr>
      <w:tr w:rsidR="0048202D" w:rsidRPr="007E73E4" w14:paraId="53BA894A" w14:textId="77777777" w:rsidTr="00132BC2">
        <w:tc>
          <w:tcPr>
            <w:tcW w:w="4782" w:type="dxa"/>
          </w:tcPr>
          <w:p w14:paraId="360BE764" w14:textId="77777777" w:rsidR="00BD631A" w:rsidRPr="007E73E4" w:rsidRDefault="00BD631A" w:rsidP="00132BC2">
            <w:pPr>
              <w:jc w:val="both"/>
              <w:rPr>
                <w:sz w:val="22"/>
                <w:szCs w:val="22"/>
              </w:rPr>
            </w:pPr>
            <w:r w:rsidRPr="007E73E4">
              <w:rPr>
                <w:sz w:val="22"/>
                <w:szCs w:val="22"/>
              </w:rPr>
              <w:t>2.Informarea societăţii civile cu privire la eventualul impact asupra mediului în urma implementării proiectului de act normativ, precum şi efectele asupra sănătăţii şi securităţii cetăţeanului sau diversităţii biologice</w:t>
            </w:r>
          </w:p>
        </w:tc>
        <w:tc>
          <w:tcPr>
            <w:tcW w:w="5478" w:type="dxa"/>
          </w:tcPr>
          <w:p w14:paraId="01B8B722" w14:textId="77777777" w:rsidR="00447CB5" w:rsidRPr="007E73E4" w:rsidRDefault="00447CB5" w:rsidP="00F45905">
            <w:pPr>
              <w:jc w:val="both"/>
              <w:rPr>
                <w:sz w:val="22"/>
                <w:szCs w:val="22"/>
              </w:rPr>
            </w:pPr>
          </w:p>
          <w:p w14:paraId="265631A0" w14:textId="77777777" w:rsidR="00BD631A" w:rsidRPr="007E73E4" w:rsidRDefault="00BD631A" w:rsidP="00F45905">
            <w:pPr>
              <w:jc w:val="both"/>
              <w:rPr>
                <w:sz w:val="22"/>
                <w:szCs w:val="22"/>
              </w:rPr>
            </w:pPr>
            <w:r w:rsidRPr="007E73E4">
              <w:rPr>
                <w:sz w:val="22"/>
                <w:szCs w:val="22"/>
              </w:rPr>
              <w:t>Proiectul de act normativ nu se referă la acest subiect</w:t>
            </w:r>
          </w:p>
        </w:tc>
      </w:tr>
      <w:tr w:rsidR="00BD631A" w:rsidRPr="007E73E4" w14:paraId="1ACF6F00" w14:textId="77777777" w:rsidTr="00132BC2">
        <w:tc>
          <w:tcPr>
            <w:tcW w:w="4782" w:type="dxa"/>
          </w:tcPr>
          <w:p w14:paraId="3631B546" w14:textId="77777777" w:rsidR="00447CB5" w:rsidRPr="007E73E4" w:rsidRDefault="00447CB5">
            <w:pPr>
              <w:rPr>
                <w:sz w:val="22"/>
                <w:szCs w:val="22"/>
              </w:rPr>
            </w:pPr>
          </w:p>
          <w:p w14:paraId="2C040CA8" w14:textId="77777777" w:rsidR="00BD631A" w:rsidRPr="007E73E4" w:rsidRDefault="00BF0D69">
            <w:pPr>
              <w:rPr>
                <w:sz w:val="22"/>
                <w:szCs w:val="22"/>
              </w:rPr>
            </w:pPr>
            <w:r w:rsidRPr="007E73E4">
              <w:rPr>
                <w:sz w:val="22"/>
                <w:szCs w:val="22"/>
              </w:rPr>
              <w:t>3. Alte informaţii</w:t>
            </w:r>
          </w:p>
        </w:tc>
        <w:tc>
          <w:tcPr>
            <w:tcW w:w="5478" w:type="dxa"/>
            <w:vAlign w:val="center"/>
          </w:tcPr>
          <w:p w14:paraId="326654C9" w14:textId="77777777" w:rsidR="00BD631A" w:rsidRPr="007E73E4" w:rsidRDefault="00BD631A" w:rsidP="00F45905">
            <w:pPr>
              <w:jc w:val="both"/>
              <w:rPr>
                <w:sz w:val="22"/>
                <w:szCs w:val="22"/>
              </w:rPr>
            </w:pPr>
            <w:r w:rsidRPr="007E73E4">
              <w:rPr>
                <w:sz w:val="22"/>
                <w:szCs w:val="22"/>
              </w:rPr>
              <w:t>Nu au fost identificate</w:t>
            </w:r>
          </w:p>
        </w:tc>
      </w:tr>
    </w:tbl>
    <w:p w14:paraId="22E20D85" w14:textId="77777777" w:rsidR="006025D4" w:rsidRPr="007E73E4" w:rsidRDefault="006025D4" w:rsidP="004E7523">
      <w:pPr>
        <w:rPr>
          <w:b/>
          <w:sz w:val="22"/>
          <w:szCs w:val="22"/>
        </w:rPr>
      </w:pPr>
    </w:p>
    <w:p w14:paraId="2AE4327E" w14:textId="77777777" w:rsidR="006551ED" w:rsidRPr="007E73E4" w:rsidRDefault="006551ED">
      <w:pPr>
        <w:ind w:left="180"/>
        <w:rPr>
          <w:b/>
          <w:sz w:val="22"/>
          <w:szCs w:val="22"/>
        </w:rPr>
      </w:pPr>
    </w:p>
    <w:p w14:paraId="1DFE7B2B" w14:textId="77777777" w:rsidR="006551ED" w:rsidRPr="007E73E4" w:rsidRDefault="006551ED">
      <w:pPr>
        <w:ind w:left="180"/>
        <w:rPr>
          <w:b/>
          <w:sz w:val="22"/>
          <w:szCs w:val="22"/>
        </w:rPr>
      </w:pPr>
    </w:p>
    <w:p w14:paraId="7DF2144A" w14:textId="77777777" w:rsidR="006551ED" w:rsidRPr="007E73E4" w:rsidRDefault="006551ED">
      <w:pPr>
        <w:ind w:left="180"/>
        <w:rPr>
          <w:b/>
          <w:sz w:val="22"/>
          <w:szCs w:val="22"/>
        </w:rPr>
      </w:pPr>
    </w:p>
    <w:p w14:paraId="023E8C19" w14:textId="77777777" w:rsidR="007E73E4" w:rsidRDefault="007E73E4">
      <w:pPr>
        <w:ind w:left="180"/>
        <w:rPr>
          <w:b/>
          <w:sz w:val="22"/>
          <w:szCs w:val="22"/>
        </w:rPr>
      </w:pPr>
    </w:p>
    <w:p w14:paraId="433AEFBF" w14:textId="77777777" w:rsidR="007E73E4" w:rsidRDefault="007E73E4">
      <w:pPr>
        <w:ind w:left="180"/>
        <w:rPr>
          <w:b/>
          <w:sz w:val="22"/>
          <w:szCs w:val="22"/>
        </w:rPr>
      </w:pPr>
    </w:p>
    <w:p w14:paraId="552D7BD6" w14:textId="34913F6C" w:rsidR="00BD631A" w:rsidRPr="007E73E4" w:rsidRDefault="00BD631A">
      <w:pPr>
        <w:ind w:left="180"/>
        <w:rPr>
          <w:b/>
          <w:sz w:val="22"/>
          <w:szCs w:val="22"/>
        </w:rPr>
      </w:pPr>
      <w:r w:rsidRPr="007E73E4">
        <w:rPr>
          <w:b/>
          <w:sz w:val="22"/>
          <w:szCs w:val="22"/>
        </w:rPr>
        <w:t>Secţiunea a 8- a. Măsuri de implementare</w:t>
      </w:r>
    </w:p>
    <w:p w14:paraId="0E358AFC" w14:textId="3721AFBA" w:rsidR="006551ED" w:rsidRPr="007E73E4" w:rsidRDefault="006551ED">
      <w:pPr>
        <w:ind w:left="180"/>
        <w:rPr>
          <w:b/>
          <w:sz w:val="22"/>
          <w:szCs w:val="22"/>
        </w:rPr>
      </w:pPr>
    </w:p>
    <w:p w14:paraId="225F45AB" w14:textId="3C007575" w:rsidR="006551ED" w:rsidRPr="007E73E4" w:rsidRDefault="006551ED">
      <w:pPr>
        <w:ind w:left="180"/>
        <w:rPr>
          <w:b/>
          <w:sz w:val="22"/>
          <w:szCs w:val="22"/>
        </w:rPr>
      </w:pPr>
    </w:p>
    <w:p w14:paraId="78A6D627" w14:textId="33728F67" w:rsidR="006551ED" w:rsidRPr="007E73E4" w:rsidRDefault="006551ED">
      <w:pPr>
        <w:ind w:left="180"/>
        <w:rPr>
          <w:b/>
          <w:sz w:val="22"/>
          <w:szCs w:val="22"/>
        </w:rPr>
      </w:pPr>
    </w:p>
    <w:p w14:paraId="4CF4385C" w14:textId="77777777" w:rsidR="006551ED" w:rsidRPr="007E73E4" w:rsidRDefault="006551ED">
      <w:pPr>
        <w:ind w:left="180"/>
        <w:rPr>
          <w:b/>
          <w:sz w:val="22"/>
          <w:szCs w:val="22"/>
        </w:rPr>
      </w:pPr>
    </w:p>
    <w:p w14:paraId="4CF49662" w14:textId="77777777" w:rsidR="00BD631A" w:rsidRPr="007E73E4" w:rsidRDefault="00BD631A">
      <w:pPr>
        <w:ind w:left="180"/>
        <w:rPr>
          <w:b/>
          <w:sz w:val="22"/>
          <w:szCs w:val="22"/>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5478"/>
      </w:tblGrid>
      <w:tr w:rsidR="0048202D" w:rsidRPr="007E73E4" w14:paraId="1BD61D28" w14:textId="77777777" w:rsidTr="00132BC2">
        <w:tc>
          <w:tcPr>
            <w:tcW w:w="4782" w:type="dxa"/>
          </w:tcPr>
          <w:p w14:paraId="304C0C50" w14:textId="77777777" w:rsidR="00BD631A" w:rsidRDefault="00BD631A">
            <w:pPr>
              <w:jc w:val="both"/>
              <w:rPr>
                <w:sz w:val="22"/>
                <w:szCs w:val="22"/>
              </w:rPr>
            </w:pPr>
            <w:r w:rsidRPr="007E73E4">
              <w:rPr>
                <w:sz w:val="22"/>
                <w:szCs w:val="22"/>
              </w:rPr>
              <w:t>1.Măsuri de punere în aplicare a proiectului de act normativ de către autorităţile administrative publice centrale şi/sau locale-înfiinţarea sau extinderea comp</w:t>
            </w:r>
            <w:r w:rsidR="00BF0D69" w:rsidRPr="007E73E4">
              <w:rPr>
                <w:sz w:val="22"/>
                <w:szCs w:val="22"/>
              </w:rPr>
              <w:t>etenţei instituţiilor existente</w:t>
            </w:r>
          </w:p>
          <w:p w14:paraId="5E3A1F0B" w14:textId="7459B39A" w:rsidR="00E80639" w:rsidRPr="007E73E4" w:rsidRDefault="00E80639">
            <w:pPr>
              <w:jc w:val="both"/>
              <w:rPr>
                <w:sz w:val="22"/>
                <w:szCs w:val="22"/>
              </w:rPr>
            </w:pPr>
          </w:p>
        </w:tc>
        <w:tc>
          <w:tcPr>
            <w:tcW w:w="5478" w:type="dxa"/>
            <w:vAlign w:val="center"/>
          </w:tcPr>
          <w:p w14:paraId="76C5C2FB" w14:textId="77777777" w:rsidR="00BD631A" w:rsidRPr="007E73E4" w:rsidRDefault="00BD631A" w:rsidP="00F45905">
            <w:pPr>
              <w:pStyle w:val="Heading1"/>
              <w:jc w:val="both"/>
              <w:rPr>
                <w:sz w:val="22"/>
                <w:szCs w:val="22"/>
              </w:rPr>
            </w:pPr>
            <w:r w:rsidRPr="007E73E4">
              <w:rPr>
                <w:sz w:val="22"/>
                <w:szCs w:val="22"/>
              </w:rPr>
              <w:t>Nu este cazul</w:t>
            </w:r>
          </w:p>
        </w:tc>
      </w:tr>
      <w:tr w:rsidR="00BD631A" w:rsidRPr="007E73E4" w14:paraId="0C2E2827" w14:textId="77777777" w:rsidTr="00132BC2">
        <w:tc>
          <w:tcPr>
            <w:tcW w:w="4782" w:type="dxa"/>
          </w:tcPr>
          <w:p w14:paraId="3F7BABBB" w14:textId="77777777" w:rsidR="00BD631A" w:rsidRDefault="00BD631A">
            <w:pPr>
              <w:jc w:val="both"/>
              <w:rPr>
                <w:sz w:val="22"/>
                <w:szCs w:val="22"/>
              </w:rPr>
            </w:pPr>
            <w:r w:rsidRPr="007E73E4">
              <w:rPr>
                <w:sz w:val="22"/>
                <w:szCs w:val="22"/>
              </w:rPr>
              <w:t>2.Alte informaţii</w:t>
            </w:r>
          </w:p>
          <w:p w14:paraId="4598168A" w14:textId="77777777" w:rsidR="007E73E4" w:rsidRDefault="007E73E4">
            <w:pPr>
              <w:jc w:val="both"/>
              <w:rPr>
                <w:sz w:val="22"/>
                <w:szCs w:val="22"/>
              </w:rPr>
            </w:pPr>
          </w:p>
          <w:p w14:paraId="002958AF" w14:textId="06780658" w:rsidR="007E73E4" w:rsidRPr="007E73E4" w:rsidRDefault="007E73E4">
            <w:pPr>
              <w:jc w:val="both"/>
              <w:rPr>
                <w:sz w:val="22"/>
                <w:szCs w:val="22"/>
              </w:rPr>
            </w:pPr>
          </w:p>
        </w:tc>
        <w:tc>
          <w:tcPr>
            <w:tcW w:w="5478" w:type="dxa"/>
            <w:vAlign w:val="center"/>
          </w:tcPr>
          <w:p w14:paraId="4D3BDA2F" w14:textId="77777777" w:rsidR="00BD631A" w:rsidRPr="007E73E4" w:rsidRDefault="00BD631A" w:rsidP="00F45905">
            <w:pPr>
              <w:jc w:val="both"/>
              <w:rPr>
                <w:sz w:val="22"/>
                <w:szCs w:val="22"/>
              </w:rPr>
            </w:pPr>
            <w:r w:rsidRPr="007E73E4">
              <w:rPr>
                <w:sz w:val="22"/>
                <w:szCs w:val="22"/>
              </w:rPr>
              <w:t>Nu au fost identificate</w:t>
            </w:r>
          </w:p>
        </w:tc>
      </w:tr>
    </w:tbl>
    <w:p w14:paraId="61C71152" w14:textId="77777777" w:rsidR="00120D76" w:rsidRPr="007E73E4" w:rsidRDefault="00120D76">
      <w:pPr>
        <w:jc w:val="both"/>
        <w:rPr>
          <w:sz w:val="22"/>
          <w:szCs w:val="22"/>
        </w:rPr>
      </w:pPr>
    </w:p>
    <w:p w14:paraId="6B051461" w14:textId="77777777" w:rsidR="006551ED" w:rsidRPr="007E73E4" w:rsidRDefault="006551ED" w:rsidP="00F45905">
      <w:pPr>
        <w:ind w:left="142" w:firstLine="720"/>
        <w:jc w:val="both"/>
        <w:rPr>
          <w:sz w:val="22"/>
          <w:szCs w:val="22"/>
        </w:rPr>
      </w:pPr>
    </w:p>
    <w:p w14:paraId="388C4F65" w14:textId="77777777" w:rsidR="006551ED" w:rsidRPr="007E73E4" w:rsidRDefault="006551ED" w:rsidP="00F45905">
      <w:pPr>
        <w:ind w:left="142" w:firstLine="720"/>
        <w:jc w:val="both"/>
        <w:rPr>
          <w:sz w:val="22"/>
          <w:szCs w:val="22"/>
        </w:rPr>
      </w:pPr>
    </w:p>
    <w:p w14:paraId="06B582AA" w14:textId="77777777" w:rsidR="006551ED" w:rsidRPr="007E73E4" w:rsidRDefault="006551ED" w:rsidP="00F45905">
      <w:pPr>
        <w:ind w:left="142" w:firstLine="720"/>
        <w:jc w:val="both"/>
        <w:rPr>
          <w:sz w:val="22"/>
          <w:szCs w:val="22"/>
        </w:rPr>
      </w:pPr>
    </w:p>
    <w:p w14:paraId="64928C50" w14:textId="77777777" w:rsidR="006551ED" w:rsidRPr="007E73E4" w:rsidRDefault="006551ED" w:rsidP="00F45905">
      <w:pPr>
        <w:ind w:left="142" w:firstLine="720"/>
        <w:jc w:val="both"/>
        <w:rPr>
          <w:sz w:val="22"/>
          <w:szCs w:val="22"/>
        </w:rPr>
      </w:pPr>
    </w:p>
    <w:p w14:paraId="4410E3CA" w14:textId="77777777" w:rsidR="006551ED" w:rsidRPr="007E73E4" w:rsidRDefault="006551ED" w:rsidP="00F45905">
      <w:pPr>
        <w:ind w:left="142" w:firstLine="720"/>
        <w:jc w:val="both"/>
        <w:rPr>
          <w:sz w:val="22"/>
          <w:szCs w:val="22"/>
        </w:rPr>
      </w:pPr>
    </w:p>
    <w:p w14:paraId="1B37F7D1" w14:textId="38BA43C1" w:rsidR="00FA64EC" w:rsidRPr="007E73E4" w:rsidRDefault="006551ED" w:rsidP="00F45905">
      <w:pPr>
        <w:ind w:left="142" w:firstLine="720"/>
        <w:jc w:val="both"/>
        <w:rPr>
          <w:sz w:val="22"/>
          <w:szCs w:val="22"/>
        </w:rPr>
      </w:pPr>
      <w:r w:rsidRPr="007E73E4">
        <w:rPr>
          <w:sz w:val="22"/>
          <w:szCs w:val="22"/>
        </w:rPr>
        <w:lastRenderedPageBreak/>
        <w:t>Față</w:t>
      </w:r>
      <w:r w:rsidR="00F45905" w:rsidRPr="007E73E4">
        <w:rPr>
          <w:sz w:val="22"/>
          <w:szCs w:val="22"/>
        </w:rPr>
        <w:t xml:space="preserve"> de cele prezentate mai sus, a fost promovat prezentul proiect </w:t>
      </w:r>
      <w:r w:rsidR="00D15C08" w:rsidRPr="00D15C08">
        <w:rPr>
          <w:rStyle w:val="do1"/>
          <w:i/>
          <w:sz w:val="22"/>
          <w:szCs w:val="22"/>
        </w:rPr>
        <w:t xml:space="preserve">Hotărâre </w:t>
      </w:r>
      <w:r w:rsidR="00107297">
        <w:rPr>
          <w:rStyle w:val="do1"/>
          <w:i/>
          <w:sz w:val="22"/>
          <w:szCs w:val="22"/>
        </w:rPr>
        <w:t xml:space="preserve">a Guvernului </w:t>
      </w:r>
      <w:r w:rsidR="00D15C08" w:rsidRPr="00D15C08">
        <w:rPr>
          <w:rStyle w:val="do1"/>
          <w:i/>
          <w:sz w:val="22"/>
          <w:szCs w:val="22"/>
        </w:rPr>
        <w:t xml:space="preserve">pentru </w:t>
      </w:r>
      <w:r w:rsidR="00D15C08" w:rsidRPr="00D15C08">
        <w:rPr>
          <w:b/>
          <w:bCs/>
          <w:i/>
          <w:sz w:val="22"/>
          <w:szCs w:val="22"/>
          <w:lang w:eastAsia="ro-RO"/>
        </w:rPr>
        <w:t>completarea art. 40 alin. (1) din Normele metodologice de aplicare a prevederilor Ordonanței de urgență a Guvernului nr. 40/2015 privind gestionarea financiară a fondurilor europene pentru perioada de programare 2014-2020, aprobate prin Hotărârea Guvernului nr. 93/2016</w:t>
      </w:r>
      <w:r w:rsidR="00D15C08" w:rsidRPr="00D15C08">
        <w:rPr>
          <w:bCs/>
          <w:sz w:val="22"/>
          <w:szCs w:val="22"/>
          <w:lang w:eastAsia="ro-RO"/>
        </w:rPr>
        <w:t xml:space="preserve"> </w:t>
      </w:r>
      <w:r w:rsidR="00BD631A" w:rsidRPr="007E73E4">
        <w:rPr>
          <w:sz w:val="22"/>
          <w:szCs w:val="22"/>
        </w:rPr>
        <w:t xml:space="preserve">care, în forma prezentată, </w:t>
      </w:r>
      <w:r w:rsidR="00F45905" w:rsidRPr="007E73E4">
        <w:rPr>
          <w:sz w:val="22"/>
          <w:szCs w:val="22"/>
        </w:rPr>
        <w:t>a fost avizat de ministerele interesate şi pe care îl supunem adoptării.</w:t>
      </w:r>
    </w:p>
    <w:p w14:paraId="2E2FF5A2" w14:textId="00EF0B4B" w:rsidR="006551ED" w:rsidRPr="007E73E4" w:rsidRDefault="006551ED" w:rsidP="00F45905">
      <w:pPr>
        <w:ind w:left="142" w:firstLine="720"/>
        <w:jc w:val="both"/>
        <w:rPr>
          <w:sz w:val="22"/>
          <w:szCs w:val="22"/>
        </w:rPr>
      </w:pPr>
    </w:p>
    <w:p w14:paraId="6D90DBA3" w14:textId="77777777" w:rsidR="006551ED" w:rsidRPr="007E73E4" w:rsidRDefault="006551ED" w:rsidP="00F45905">
      <w:pPr>
        <w:ind w:left="142" w:firstLine="720"/>
        <w:jc w:val="both"/>
        <w:rPr>
          <w:sz w:val="22"/>
          <w:szCs w:val="22"/>
        </w:rPr>
      </w:pPr>
    </w:p>
    <w:p w14:paraId="18C2718D" w14:textId="77777777" w:rsidR="00F45905" w:rsidRPr="007E73E4" w:rsidRDefault="00F45905" w:rsidP="00B854E3">
      <w:pPr>
        <w:ind w:right="48"/>
        <w:jc w:val="both"/>
        <w:rPr>
          <w:b/>
          <w:bCs/>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8"/>
        <w:gridCol w:w="5052"/>
      </w:tblGrid>
      <w:tr w:rsidR="00016514" w:rsidRPr="007E73E4" w14:paraId="69F9F0F3" w14:textId="212CE545" w:rsidTr="00016514">
        <w:tc>
          <w:tcPr>
            <w:tcW w:w="5368" w:type="dxa"/>
          </w:tcPr>
          <w:p w14:paraId="6D7D5145" w14:textId="77777777" w:rsidR="00016514" w:rsidRPr="007E73E4" w:rsidRDefault="00016514" w:rsidP="00B854E3">
            <w:pPr>
              <w:ind w:right="48"/>
              <w:jc w:val="center"/>
              <w:rPr>
                <w:b/>
                <w:bCs/>
                <w:sz w:val="22"/>
                <w:szCs w:val="22"/>
              </w:rPr>
            </w:pPr>
            <w:r w:rsidRPr="007E73E4">
              <w:rPr>
                <w:b/>
                <w:bCs/>
                <w:sz w:val="22"/>
                <w:szCs w:val="22"/>
              </w:rPr>
              <w:t>MINISTRUL INVESTIȚIILOR ȘI PROIECTELOR EUROPENE</w:t>
            </w:r>
          </w:p>
          <w:p w14:paraId="7BA3B1FC" w14:textId="77777777" w:rsidR="00016514" w:rsidRPr="007E73E4" w:rsidRDefault="00016514" w:rsidP="00B854E3">
            <w:pPr>
              <w:ind w:right="48"/>
              <w:jc w:val="center"/>
              <w:rPr>
                <w:b/>
                <w:bCs/>
                <w:sz w:val="22"/>
                <w:szCs w:val="22"/>
              </w:rPr>
            </w:pPr>
          </w:p>
          <w:p w14:paraId="51EFFC5E" w14:textId="77777777" w:rsidR="00016514" w:rsidRPr="007E73E4" w:rsidRDefault="00016514" w:rsidP="00B854E3">
            <w:pPr>
              <w:ind w:right="48"/>
              <w:jc w:val="center"/>
              <w:rPr>
                <w:b/>
                <w:bCs/>
                <w:sz w:val="22"/>
                <w:szCs w:val="22"/>
              </w:rPr>
            </w:pPr>
          </w:p>
          <w:p w14:paraId="7EB18AAB" w14:textId="77777777" w:rsidR="00016514" w:rsidRPr="007E73E4" w:rsidRDefault="00016514" w:rsidP="00B854E3">
            <w:pPr>
              <w:ind w:right="48"/>
              <w:jc w:val="center"/>
              <w:rPr>
                <w:b/>
                <w:bCs/>
                <w:sz w:val="22"/>
                <w:szCs w:val="22"/>
              </w:rPr>
            </w:pPr>
          </w:p>
          <w:p w14:paraId="7C21D13B" w14:textId="77777777" w:rsidR="00016514" w:rsidRPr="007E73E4" w:rsidRDefault="00016514" w:rsidP="00B854E3">
            <w:pPr>
              <w:ind w:right="48"/>
              <w:jc w:val="center"/>
              <w:rPr>
                <w:b/>
                <w:bCs/>
                <w:sz w:val="22"/>
                <w:szCs w:val="22"/>
              </w:rPr>
            </w:pPr>
            <w:r w:rsidRPr="007E73E4">
              <w:rPr>
                <w:b/>
                <w:bCs/>
                <w:sz w:val="22"/>
                <w:szCs w:val="22"/>
              </w:rPr>
              <w:t>Cristian GHINEA</w:t>
            </w:r>
          </w:p>
          <w:p w14:paraId="3864C23D" w14:textId="77777777" w:rsidR="00016514" w:rsidRPr="007E73E4" w:rsidRDefault="00016514" w:rsidP="00B854E3">
            <w:pPr>
              <w:ind w:right="48"/>
              <w:jc w:val="both"/>
              <w:rPr>
                <w:sz w:val="22"/>
                <w:szCs w:val="22"/>
              </w:rPr>
            </w:pPr>
          </w:p>
          <w:p w14:paraId="5FB3E812" w14:textId="6883F970" w:rsidR="00016514" w:rsidRPr="007E73E4" w:rsidRDefault="00016514" w:rsidP="00B854E3">
            <w:pPr>
              <w:ind w:right="48"/>
              <w:jc w:val="center"/>
              <w:rPr>
                <w:b/>
                <w:bCs/>
                <w:sz w:val="22"/>
                <w:szCs w:val="22"/>
                <w:highlight w:val="yellow"/>
              </w:rPr>
            </w:pPr>
          </w:p>
          <w:p w14:paraId="13DAE850" w14:textId="77777777" w:rsidR="00016514" w:rsidRPr="007E73E4" w:rsidRDefault="00016514" w:rsidP="00B854E3">
            <w:pPr>
              <w:ind w:right="48"/>
              <w:jc w:val="center"/>
              <w:rPr>
                <w:b/>
                <w:bCs/>
                <w:sz w:val="22"/>
                <w:szCs w:val="22"/>
                <w:highlight w:val="yellow"/>
              </w:rPr>
            </w:pPr>
          </w:p>
          <w:p w14:paraId="500EFC82" w14:textId="77777777" w:rsidR="00016514" w:rsidRPr="007E73E4" w:rsidRDefault="00016514" w:rsidP="00B854E3">
            <w:pPr>
              <w:ind w:right="48"/>
              <w:jc w:val="center"/>
              <w:rPr>
                <w:b/>
                <w:bCs/>
                <w:sz w:val="22"/>
                <w:szCs w:val="22"/>
                <w:highlight w:val="yellow"/>
              </w:rPr>
            </w:pPr>
          </w:p>
        </w:tc>
        <w:tc>
          <w:tcPr>
            <w:tcW w:w="5052" w:type="dxa"/>
          </w:tcPr>
          <w:p w14:paraId="0CED54C8" w14:textId="7840D9EC" w:rsidR="00016514" w:rsidRPr="00016514" w:rsidRDefault="00016514" w:rsidP="00016514">
            <w:pPr>
              <w:jc w:val="center"/>
              <w:rPr>
                <w:b/>
                <w:bCs/>
                <w:sz w:val="22"/>
                <w:szCs w:val="22"/>
              </w:rPr>
            </w:pPr>
            <w:r w:rsidRPr="00016514">
              <w:rPr>
                <w:b/>
                <w:bCs/>
                <w:sz w:val="22"/>
                <w:szCs w:val="22"/>
              </w:rPr>
              <w:t xml:space="preserve">MINISTRUL TRANSPORTURILOR </w:t>
            </w:r>
            <w:r w:rsidR="00107297">
              <w:rPr>
                <w:b/>
                <w:bCs/>
                <w:sz w:val="22"/>
                <w:szCs w:val="22"/>
              </w:rPr>
              <w:t xml:space="preserve"> ȘI </w:t>
            </w:r>
            <w:r w:rsidRPr="00016514">
              <w:rPr>
                <w:b/>
                <w:bCs/>
                <w:sz w:val="22"/>
                <w:szCs w:val="22"/>
              </w:rPr>
              <w:t xml:space="preserve">INFRASTRUCTURII </w:t>
            </w:r>
          </w:p>
          <w:p w14:paraId="07DA40D8" w14:textId="77777777" w:rsidR="00016514" w:rsidRPr="00016514" w:rsidRDefault="00016514" w:rsidP="00016514">
            <w:pPr>
              <w:jc w:val="center"/>
              <w:rPr>
                <w:b/>
                <w:bCs/>
                <w:sz w:val="22"/>
                <w:szCs w:val="22"/>
              </w:rPr>
            </w:pPr>
          </w:p>
          <w:p w14:paraId="5AF65D2F" w14:textId="77777777" w:rsidR="00016514" w:rsidRDefault="00016514" w:rsidP="00016514">
            <w:pPr>
              <w:jc w:val="center"/>
              <w:rPr>
                <w:b/>
                <w:bCs/>
              </w:rPr>
            </w:pPr>
          </w:p>
          <w:p w14:paraId="3861AF30" w14:textId="77777777" w:rsidR="00016514" w:rsidRDefault="00016514" w:rsidP="00016514">
            <w:pPr>
              <w:jc w:val="center"/>
              <w:rPr>
                <w:b/>
                <w:bCs/>
              </w:rPr>
            </w:pPr>
          </w:p>
          <w:p w14:paraId="168A997C" w14:textId="77777777" w:rsidR="00016514" w:rsidRPr="00016514" w:rsidRDefault="00016514" w:rsidP="00016514">
            <w:pPr>
              <w:jc w:val="center"/>
              <w:rPr>
                <w:b/>
                <w:bCs/>
                <w:sz w:val="22"/>
                <w:szCs w:val="22"/>
              </w:rPr>
            </w:pPr>
            <w:r w:rsidRPr="00016514">
              <w:rPr>
                <w:b/>
                <w:bCs/>
                <w:sz w:val="22"/>
                <w:szCs w:val="22"/>
              </w:rPr>
              <w:t>Cătălin DRULĂ</w:t>
            </w:r>
          </w:p>
          <w:p w14:paraId="52644B0D" w14:textId="77777777" w:rsidR="00016514" w:rsidRPr="007E73E4" w:rsidRDefault="00016514" w:rsidP="00B854E3">
            <w:pPr>
              <w:ind w:right="48"/>
              <w:jc w:val="center"/>
              <w:rPr>
                <w:b/>
                <w:bCs/>
                <w:sz w:val="22"/>
                <w:szCs w:val="22"/>
              </w:rPr>
            </w:pPr>
          </w:p>
        </w:tc>
      </w:tr>
    </w:tbl>
    <w:p w14:paraId="201FAA08" w14:textId="77777777" w:rsidR="008962B7" w:rsidRPr="007E73E4" w:rsidRDefault="008962B7" w:rsidP="00B854E3">
      <w:pPr>
        <w:ind w:right="48"/>
        <w:jc w:val="center"/>
        <w:rPr>
          <w:b/>
          <w:sz w:val="22"/>
          <w:szCs w:val="22"/>
        </w:rPr>
      </w:pPr>
    </w:p>
    <w:p w14:paraId="79CAC141" w14:textId="77777777" w:rsidR="001A103D" w:rsidRPr="007E73E4" w:rsidRDefault="001A103D" w:rsidP="00B854E3">
      <w:pPr>
        <w:ind w:right="48"/>
        <w:jc w:val="center"/>
        <w:rPr>
          <w:b/>
          <w:sz w:val="22"/>
          <w:szCs w:val="22"/>
        </w:rPr>
      </w:pPr>
    </w:p>
    <w:p w14:paraId="758C745F" w14:textId="722FC4D3" w:rsidR="006551ED" w:rsidRDefault="006551ED" w:rsidP="00B854E3">
      <w:pPr>
        <w:spacing w:after="240"/>
        <w:ind w:right="48"/>
        <w:jc w:val="center"/>
        <w:rPr>
          <w:b/>
          <w:sz w:val="22"/>
          <w:szCs w:val="22"/>
          <w:u w:val="single"/>
        </w:rPr>
      </w:pPr>
      <w:r w:rsidRPr="007E73E4">
        <w:rPr>
          <w:b/>
          <w:sz w:val="22"/>
          <w:szCs w:val="22"/>
          <w:u w:val="single"/>
        </w:rPr>
        <w:t>AVIZĂM FAVORABIL:</w:t>
      </w:r>
    </w:p>
    <w:p w14:paraId="2D9ECBE3" w14:textId="77777777" w:rsidR="00B854E3" w:rsidRDefault="00B854E3" w:rsidP="00B854E3">
      <w:pPr>
        <w:spacing w:after="240"/>
        <w:ind w:right="48"/>
        <w:jc w:val="center"/>
        <w:rPr>
          <w:b/>
          <w:sz w:val="22"/>
          <w:szCs w:val="22"/>
          <w:u w:val="single"/>
        </w:rPr>
      </w:pPr>
    </w:p>
    <w:p w14:paraId="353B9CE8" w14:textId="7DED7333" w:rsidR="00B854E3" w:rsidRDefault="00B854E3" w:rsidP="00B854E3">
      <w:pPr>
        <w:ind w:right="48"/>
        <w:jc w:val="center"/>
        <w:rPr>
          <w:b/>
          <w:bCs/>
          <w:sz w:val="22"/>
          <w:szCs w:val="22"/>
        </w:rPr>
      </w:pPr>
      <w:r w:rsidRPr="00B854E3">
        <w:rPr>
          <w:b/>
          <w:bCs/>
          <w:sz w:val="22"/>
          <w:szCs w:val="22"/>
        </w:rPr>
        <w:t>VICEPRIM-MINISTRU</w:t>
      </w:r>
    </w:p>
    <w:p w14:paraId="1969648A" w14:textId="7B42C318" w:rsidR="00B854E3" w:rsidRDefault="00B854E3" w:rsidP="00B854E3">
      <w:pPr>
        <w:ind w:right="48"/>
        <w:jc w:val="center"/>
        <w:rPr>
          <w:b/>
          <w:bCs/>
          <w:sz w:val="22"/>
          <w:szCs w:val="22"/>
        </w:rPr>
      </w:pPr>
    </w:p>
    <w:p w14:paraId="4B435C11" w14:textId="77777777" w:rsidR="00B854E3" w:rsidRPr="00B854E3" w:rsidRDefault="00B854E3" w:rsidP="00B854E3">
      <w:pPr>
        <w:ind w:right="48"/>
        <w:jc w:val="center"/>
        <w:rPr>
          <w:b/>
          <w:bCs/>
          <w:sz w:val="22"/>
          <w:szCs w:val="22"/>
        </w:rPr>
      </w:pPr>
    </w:p>
    <w:p w14:paraId="379D1230" w14:textId="372C3FAF" w:rsidR="00B854E3" w:rsidRPr="00B854E3" w:rsidRDefault="00B854E3" w:rsidP="00B854E3">
      <w:pPr>
        <w:ind w:right="48"/>
        <w:jc w:val="center"/>
        <w:rPr>
          <w:b/>
          <w:bCs/>
          <w:sz w:val="22"/>
          <w:szCs w:val="22"/>
        </w:rPr>
      </w:pPr>
      <w:r w:rsidRPr="00B854E3">
        <w:rPr>
          <w:b/>
          <w:bCs/>
          <w:sz w:val="22"/>
          <w:szCs w:val="22"/>
        </w:rPr>
        <w:t>Ilie-Dan BARNA</w:t>
      </w:r>
    </w:p>
    <w:p w14:paraId="2859692F" w14:textId="5F87F025" w:rsidR="006551ED" w:rsidRDefault="006551ED" w:rsidP="00B854E3">
      <w:pPr>
        <w:spacing w:after="240"/>
        <w:ind w:right="48"/>
        <w:jc w:val="center"/>
        <w:rPr>
          <w:b/>
          <w:sz w:val="22"/>
          <w:szCs w:val="22"/>
          <w:u w:val="single"/>
        </w:rPr>
      </w:pPr>
    </w:p>
    <w:p w14:paraId="7D14A649" w14:textId="1C3C3F79" w:rsidR="00B854E3" w:rsidRDefault="00B854E3" w:rsidP="00B854E3">
      <w:pPr>
        <w:spacing w:after="240"/>
        <w:ind w:right="48"/>
        <w:jc w:val="center"/>
        <w:rPr>
          <w:b/>
          <w:sz w:val="22"/>
          <w:szCs w:val="22"/>
          <w:u w:val="single"/>
        </w:rPr>
      </w:pPr>
    </w:p>
    <w:p w14:paraId="4E5BCFA9" w14:textId="77777777" w:rsidR="00B854E3" w:rsidRPr="007E73E4" w:rsidRDefault="00B854E3" w:rsidP="00B854E3">
      <w:pPr>
        <w:spacing w:after="240"/>
        <w:ind w:right="48"/>
        <w:jc w:val="center"/>
        <w:rPr>
          <w:b/>
          <w:sz w:val="22"/>
          <w:szCs w:val="22"/>
          <w:u w:val="single"/>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04"/>
      </w:tblGrid>
      <w:tr w:rsidR="006551ED" w:rsidRPr="007E73E4" w14:paraId="33AA7DBC" w14:textId="77777777" w:rsidTr="0056458F">
        <w:trPr>
          <w:trHeight w:val="1394"/>
        </w:trPr>
        <w:tc>
          <w:tcPr>
            <w:tcW w:w="10206" w:type="dxa"/>
          </w:tcPr>
          <w:p w14:paraId="0924FDEE" w14:textId="0F4B6D48" w:rsidR="006551ED" w:rsidRPr="007E73E4" w:rsidRDefault="006551ED" w:rsidP="00B854E3">
            <w:pPr>
              <w:ind w:right="48"/>
              <w:jc w:val="center"/>
              <w:rPr>
                <w:b/>
                <w:bCs/>
                <w:sz w:val="22"/>
                <w:szCs w:val="22"/>
              </w:rPr>
            </w:pPr>
            <w:r w:rsidRPr="007E73E4">
              <w:rPr>
                <w:b/>
                <w:bCs/>
                <w:sz w:val="22"/>
                <w:szCs w:val="22"/>
              </w:rPr>
              <w:t xml:space="preserve">MINISTRUL FINANŢELOR </w:t>
            </w:r>
          </w:p>
          <w:p w14:paraId="6B2E3C5F" w14:textId="77777777" w:rsidR="006551ED" w:rsidRPr="007E73E4" w:rsidRDefault="006551ED" w:rsidP="00B854E3">
            <w:pPr>
              <w:ind w:right="48"/>
              <w:jc w:val="center"/>
              <w:rPr>
                <w:b/>
                <w:bCs/>
                <w:sz w:val="22"/>
                <w:szCs w:val="22"/>
              </w:rPr>
            </w:pPr>
          </w:p>
          <w:p w14:paraId="67CEE918" w14:textId="77777777" w:rsidR="006551ED" w:rsidRPr="007E73E4" w:rsidRDefault="006551ED" w:rsidP="00B854E3">
            <w:pPr>
              <w:ind w:right="48"/>
              <w:jc w:val="center"/>
              <w:rPr>
                <w:b/>
                <w:bCs/>
                <w:sz w:val="22"/>
                <w:szCs w:val="22"/>
              </w:rPr>
            </w:pPr>
          </w:p>
          <w:p w14:paraId="07D11CCE" w14:textId="77777777" w:rsidR="006551ED" w:rsidRPr="007E73E4" w:rsidRDefault="006551ED" w:rsidP="00B854E3">
            <w:pPr>
              <w:ind w:right="48"/>
              <w:jc w:val="center"/>
              <w:rPr>
                <w:b/>
                <w:sz w:val="22"/>
                <w:szCs w:val="22"/>
              </w:rPr>
            </w:pPr>
            <w:r w:rsidRPr="007E73E4">
              <w:rPr>
                <w:b/>
                <w:sz w:val="22"/>
                <w:szCs w:val="22"/>
              </w:rPr>
              <w:t>Alexandru NAZARE</w:t>
            </w:r>
          </w:p>
          <w:p w14:paraId="7C4AD191" w14:textId="77777777" w:rsidR="006551ED" w:rsidRPr="007E73E4" w:rsidRDefault="006551ED" w:rsidP="00B854E3">
            <w:pPr>
              <w:ind w:right="48"/>
              <w:jc w:val="center"/>
              <w:rPr>
                <w:b/>
                <w:sz w:val="22"/>
                <w:szCs w:val="22"/>
                <w:u w:val="single"/>
              </w:rPr>
            </w:pPr>
          </w:p>
          <w:p w14:paraId="5D56937F" w14:textId="77777777" w:rsidR="006551ED" w:rsidRPr="007E73E4" w:rsidRDefault="006551ED" w:rsidP="00B854E3">
            <w:pPr>
              <w:ind w:right="48"/>
              <w:jc w:val="center"/>
              <w:rPr>
                <w:b/>
                <w:sz w:val="22"/>
                <w:szCs w:val="22"/>
                <w:u w:val="single"/>
              </w:rPr>
            </w:pPr>
          </w:p>
          <w:p w14:paraId="5D6557A9" w14:textId="77777777" w:rsidR="006551ED" w:rsidRPr="007E73E4" w:rsidRDefault="006551ED" w:rsidP="00B854E3">
            <w:pPr>
              <w:ind w:right="48"/>
              <w:jc w:val="center"/>
              <w:rPr>
                <w:b/>
                <w:sz w:val="22"/>
                <w:szCs w:val="22"/>
                <w:u w:val="single"/>
              </w:rPr>
            </w:pPr>
          </w:p>
          <w:p w14:paraId="13E0D726" w14:textId="77777777" w:rsidR="006551ED" w:rsidRPr="007E73E4" w:rsidRDefault="006551ED" w:rsidP="00B854E3">
            <w:pPr>
              <w:ind w:right="48"/>
              <w:jc w:val="center"/>
              <w:rPr>
                <w:b/>
                <w:sz w:val="22"/>
                <w:szCs w:val="22"/>
                <w:u w:val="single"/>
              </w:rPr>
            </w:pPr>
          </w:p>
        </w:tc>
      </w:tr>
      <w:tr w:rsidR="006551ED" w:rsidRPr="007E73E4" w14:paraId="6C5A8A06" w14:textId="77777777" w:rsidTr="0056458F">
        <w:trPr>
          <w:trHeight w:val="1129"/>
        </w:trPr>
        <w:tc>
          <w:tcPr>
            <w:tcW w:w="10206" w:type="dxa"/>
          </w:tcPr>
          <w:p w14:paraId="2EA6603A" w14:textId="77777777" w:rsidR="006551ED" w:rsidRPr="007E73E4" w:rsidRDefault="006551ED" w:rsidP="00B854E3">
            <w:pPr>
              <w:shd w:val="clear" w:color="auto" w:fill="FFFFFF"/>
              <w:ind w:right="48"/>
              <w:jc w:val="center"/>
              <w:rPr>
                <w:rFonts w:eastAsia="Arial Unicode MS"/>
                <w:b/>
                <w:sz w:val="22"/>
                <w:szCs w:val="22"/>
              </w:rPr>
            </w:pPr>
            <w:r w:rsidRPr="007E73E4">
              <w:rPr>
                <w:rFonts w:eastAsia="Arial Unicode MS"/>
                <w:b/>
                <w:sz w:val="22"/>
                <w:szCs w:val="22"/>
              </w:rPr>
              <w:t>MINISTRUL JUSTIŢIEI</w:t>
            </w:r>
          </w:p>
          <w:p w14:paraId="3FC65D1F" w14:textId="77777777" w:rsidR="006551ED" w:rsidRPr="007E73E4" w:rsidRDefault="006551ED" w:rsidP="00B854E3">
            <w:pPr>
              <w:shd w:val="clear" w:color="auto" w:fill="FFFFFF"/>
              <w:ind w:right="48"/>
              <w:jc w:val="center"/>
              <w:rPr>
                <w:rFonts w:eastAsia="Arial Unicode MS"/>
                <w:b/>
                <w:sz w:val="22"/>
                <w:szCs w:val="22"/>
              </w:rPr>
            </w:pPr>
          </w:p>
          <w:p w14:paraId="37EF561D" w14:textId="77777777" w:rsidR="006551ED" w:rsidRPr="007E73E4" w:rsidRDefault="006551ED" w:rsidP="00B854E3">
            <w:pPr>
              <w:shd w:val="clear" w:color="auto" w:fill="FFFFFF"/>
              <w:ind w:right="48"/>
              <w:jc w:val="center"/>
              <w:rPr>
                <w:rFonts w:eastAsia="Arial Unicode MS"/>
                <w:b/>
                <w:sz w:val="22"/>
                <w:szCs w:val="22"/>
              </w:rPr>
            </w:pPr>
          </w:p>
          <w:p w14:paraId="73C766EE" w14:textId="77777777" w:rsidR="006551ED" w:rsidRPr="007E73E4" w:rsidRDefault="006551ED" w:rsidP="00B854E3">
            <w:pPr>
              <w:spacing w:after="120"/>
              <w:ind w:right="48"/>
              <w:jc w:val="center"/>
              <w:rPr>
                <w:b/>
                <w:sz w:val="22"/>
                <w:szCs w:val="22"/>
                <w:u w:val="single"/>
              </w:rPr>
            </w:pPr>
            <w:r w:rsidRPr="007E73E4">
              <w:rPr>
                <w:rFonts w:eastAsia="Arial Unicode MS"/>
                <w:b/>
                <w:sz w:val="22"/>
                <w:szCs w:val="22"/>
              </w:rPr>
              <w:t xml:space="preserve">Stelian-Cristian ION </w:t>
            </w:r>
          </w:p>
          <w:p w14:paraId="43C4B4D8" w14:textId="77777777" w:rsidR="006551ED" w:rsidRPr="007E73E4" w:rsidRDefault="006551ED" w:rsidP="00B854E3">
            <w:pPr>
              <w:spacing w:after="120"/>
              <w:ind w:right="48"/>
              <w:jc w:val="center"/>
              <w:rPr>
                <w:b/>
                <w:sz w:val="22"/>
                <w:szCs w:val="22"/>
                <w:u w:val="single"/>
              </w:rPr>
            </w:pPr>
          </w:p>
        </w:tc>
      </w:tr>
    </w:tbl>
    <w:p w14:paraId="3C13CE3F" w14:textId="5EDC24D8" w:rsidR="007E73E4" w:rsidRPr="007E73E4" w:rsidRDefault="007E73E4" w:rsidP="00AC64A7">
      <w:pPr>
        <w:shd w:val="clear" w:color="auto" w:fill="FFFFFF"/>
        <w:ind w:right="48"/>
        <w:rPr>
          <w:rFonts w:eastAsia="Arial Unicode MS"/>
          <w:b/>
          <w:sz w:val="22"/>
          <w:szCs w:val="22"/>
        </w:rPr>
      </w:pPr>
    </w:p>
    <w:p w14:paraId="234581ED" w14:textId="3C9619D2" w:rsidR="007E73E4" w:rsidRPr="007E73E4" w:rsidRDefault="007E73E4" w:rsidP="00132BC2">
      <w:pPr>
        <w:shd w:val="clear" w:color="auto" w:fill="FFFFFF"/>
        <w:jc w:val="center"/>
        <w:rPr>
          <w:rFonts w:eastAsia="Arial Unicode MS"/>
          <w:b/>
          <w:sz w:val="22"/>
          <w:szCs w:val="22"/>
        </w:rPr>
      </w:pPr>
    </w:p>
    <w:sectPr w:rsidR="007E73E4" w:rsidRPr="007E73E4" w:rsidSect="009970D2">
      <w:footerReference w:type="even" r:id="rId8"/>
      <w:footerReference w:type="default" r:id="rId9"/>
      <w:pgSz w:w="12240" w:h="15840"/>
      <w:pgMar w:top="709" w:right="851"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0F935" w14:textId="77777777" w:rsidR="00DE4B09" w:rsidRDefault="00DE4B09">
      <w:r>
        <w:separator/>
      </w:r>
    </w:p>
  </w:endnote>
  <w:endnote w:type="continuationSeparator" w:id="0">
    <w:p w14:paraId="79A60AE8" w14:textId="77777777" w:rsidR="00DE4B09" w:rsidRDefault="00DE4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420A" w14:textId="77777777" w:rsidR="00EA23CB" w:rsidRDefault="00EA23CB"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224EAC" w14:textId="77777777" w:rsidR="00EA23CB" w:rsidRDefault="00EA23CB"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4F307" w14:textId="77777777" w:rsidR="00EA23CB" w:rsidRDefault="00EA23CB"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23A7">
      <w:rPr>
        <w:rStyle w:val="PageNumber"/>
        <w:noProof/>
      </w:rPr>
      <w:t>2</w:t>
    </w:r>
    <w:r>
      <w:rPr>
        <w:rStyle w:val="PageNumber"/>
      </w:rPr>
      <w:fldChar w:fldCharType="end"/>
    </w:r>
  </w:p>
  <w:p w14:paraId="0CBC17BB" w14:textId="77777777" w:rsidR="00EA23CB" w:rsidRDefault="00EA23CB"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D9CE8" w14:textId="77777777" w:rsidR="00DE4B09" w:rsidRDefault="00DE4B09">
      <w:r>
        <w:separator/>
      </w:r>
    </w:p>
  </w:footnote>
  <w:footnote w:type="continuationSeparator" w:id="0">
    <w:p w14:paraId="38ED1CDF" w14:textId="77777777" w:rsidR="00DE4B09" w:rsidRDefault="00DE4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20D99"/>
    <w:multiLevelType w:val="hybridMultilevel"/>
    <w:tmpl w:val="A6DCF68C"/>
    <w:lvl w:ilvl="0" w:tplc="76CAA16C">
      <w:start w:val="1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5260AB"/>
    <w:multiLevelType w:val="hybridMultilevel"/>
    <w:tmpl w:val="51F80C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118E6"/>
    <w:multiLevelType w:val="hybridMultilevel"/>
    <w:tmpl w:val="E29AB9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E33D8F"/>
    <w:multiLevelType w:val="hybridMultilevel"/>
    <w:tmpl w:val="B142A47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5E42C3"/>
    <w:multiLevelType w:val="hybridMultilevel"/>
    <w:tmpl w:val="83C833C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D624ED"/>
    <w:multiLevelType w:val="hybridMultilevel"/>
    <w:tmpl w:val="556A34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80718A"/>
    <w:multiLevelType w:val="hybridMultilevel"/>
    <w:tmpl w:val="F5E85C4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5C483B"/>
    <w:multiLevelType w:val="hybridMultilevel"/>
    <w:tmpl w:val="F486764A"/>
    <w:lvl w:ilvl="0" w:tplc="6D9A111C">
      <w:start w:val="1"/>
      <w:numFmt w:val="decimal"/>
      <w:lvlText w:val="%1."/>
      <w:lvlJc w:val="left"/>
      <w:pPr>
        <w:ind w:left="720" w:hanging="360"/>
      </w:pPr>
      <w:rPr>
        <w:rFonts w:cs="Calibri"/>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23510EC8"/>
    <w:multiLevelType w:val="hybridMultilevel"/>
    <w:tmpl w:val="C2FA77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6D509A"/>
    <w:multiLevelType w:val="hybridMultilevel"/>
    <w:tmpl w:val="AA90D2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67C1855"/>
    <w:multiLevelType w:val="hybridMultilevel"/>
    <w:tmpl w:val="218C71A4"/>
    <w:lvl w:ilvl="0" w:tplc="2842C14C">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ED13BB"/>
    <w:multiLevelType w:val="hybridMultilevel"/>
    <w:tmpl w:val="5032F1C0"/>
    <w:lvl w:ilvl="0" w:tplc="A97212EC">
      <w:numFmt w:val="bullet"/>
      <w:lvlText w:val="-"/>
      <w:lvlJc w:val="left"/>
      <w:pPr>
        <w:ind w:left="-1548" w:hanging="360"/>
      </w:pPr>
      <w:rPr>
        <w:rFonts w:ascii="Calibri" w:eastAsiaTheme="minorHAnsi" w:hAnsi="Calibri" w:cstheme="minorBidi" w:hint="default"/>
      </w:rPr>
    </w:lvl>
    <w:lvl w:ilvl="1" w:tplc="04180003" w:tentative="1">
      <w:start w:val="1"/>
      <w:numFmt w:val="bullet"/>
      <w:lvlText w:val="o"/>
      <w:lvlJc w:val="left"/>
      <w:pPr>
        <w:ind w:left="-828" w:hanging="360"/>
      </w:pPr>
      <w:rPr>
        <w:rFonts w:ascii="Courier New" w:hAnsi="Courier New" w:cs="Courier New" w:hint="default"/>
      </w:rPr>
    </w:lvl>
    <w:lvl w:ilvl="2" w:tplc="04180005" w:tentative="1">
      <w:start w:val="1"/>
      <w:numFmt w:val="bullet"/>
      <w:lvlText w:val=""/>
      <w:lvlJc w:val="left"/>
      <w:pPr>
        <w:ind w:left="-108" w:hanging="360"/>
      </w:pPr>
      <w:rPr>
        <w:rFonts w:ascii="Wingdings" w:hAnsi="Wingdings" w:hint="default"/>
      </w:rPr>
    </w:lvl>
    <w:lvl w:ilvl="3" w:tplc="04180001" w:tentative="1">
      <w:start w:val="1"/>
      <w:numFmt w:val="bullet"/>
      <w:lvlText w:val=""/>
      <w:lvlJc w:val="left"/>
      <w:pPr>
        <w:ind w:left="612" w:hanging="360"/>
      </w:pPr>
      <w:rPr>
        <w:rFonts w:ascii="Symbol" w:hAnsi="Symbol" w:hint="default"/>
      </w:rPr>
    </w:lvl>
    <w:lvl w:ilvl="4" w:tplc="04180003" w:tentative="1">
      <w:start w:val="1"/>
      <w:numFmt w:val="bullet"/>
      <w:lvlText w:val="o"/>
      <w:lvlJc w:val="left"/>
      <w:pPr>
        <w:ind w:left="1332" w:hanging="360"/>
      </w:pPr>
      <w:rPr>
        <w:rFonts w:ascii="Courier New" w:hAnsi="Courier New" w:cs="Courier New" w:hint="default"/>
      </w:rPr>
    </w:lvl>
    <w:lvl w:ilvl="5" w:tplc="04180005" w:tentative="1">
      <w:start w:val="1"/>
      <w:numFmt w:val="bullet"/>
      <w:lvlText w:val=""/>
      <w:lvlJc w:val="left"/>
      <w:pPr>
        <w:ind w:left="2052" w:hanging="360"/>
      </w:pPr>
      <w:rPr>
        <w:rFonts w:ascii="Wingdings" w:hAnsi="Wingdings" w:hint="default"/>
      </w:rPr>
    </w:lvl>
    <w:lvl w:ilvl="6" w:tplc="04180001" w:tentative="1">
      <w:start w:val="1"/>
      <w:numFmt w:val="bullet"/>
      <w:lvlText w:val=""/>
      <w:lvlJc w:val="left"/>
      <w:pPr>
        <w:ind w:left="2772" w:hanging="360"/>
      </w:pPr>
      <w:rPr>
        <w:rFonts w:ascii="Symbol" w:hAnsi="Symbol" w:hint="default"/>
      </w:rPr>
    </w:lvl>
    <w:lvl w:ilvl="7" w:tplc="04180003" w:tentative="1">
      <w:start w:val="1"/>
      <w:numFmt w:val="bullet"/>
      <w:lvlText w:val="o"/>
      <w:lvlJc w:val="left"/>
      <w:pPr>
        <w:ind w:left="3492" w:hanging="360"/>
      </w:pPr>
      <w:rPr>
        <w:rFonts w:ascii="Courier New" w:hAnsi="Courier New" w:cs="Courier New" w:hint="default"/>
      </w:rPr>
    </w:lvl>
    <w:lvl w:ilvl="8" w:tplc="04180005" w:tentative="1">
      <w:start w:val="1"/>
      <w:numFmt w:val="bullet"/>
      <w:lvlText w:val=""/>
      <w:lvlJc w:val="left"/>
      <w:pPr>
        <w:ind w:left="4212" w:hanging="360"/>
      </w:pPr>
      <w:rPr>
        <w:rFonts w:ascii="Wingdings" w:hAnsi="Wingdings" w:hint="default"/>
      </w:rPr>
    </w:lvl>
  </w:abstractNum>
  <w:abstractNum w:abstractNumId="12" w15:restartNumberingAfterBreak="0">
    <w:nsid w:val="2A397635"/>
    <w:multiLevelType w:val="hybridMultilevel"/>
    <w:tmpl w:val="49B86C6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B7973B4"/>
    <w:multiLevelType w:val="hybridMultilevel"/>
    <w:tmpl w:val="0778FAC8"/>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DC46A74"/>
    <w:multiLevelType w:val="hybridMultilevel"/>
    <w:tmpl w:val="39BEA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21A56"/>
    <w:multiLevelType w:val="hybridMultilevel"/>
    <w:tmpl w:val="2078EE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B3D5F"/>
    <w:multiLevelType w:val="hybridMultilevel"/>
    <w:tmpl w:val="2416D7A0"/>
    <w:lvl w:ilvl="0" w:tplc="0658B116">
      <w:start w:val="7"/>
      <w:numFmt w:val="bullet"/>
      <w:lvlText w:val="-"/>
      <w:lvlJc w:val="left"/>
      <w:pPr>
        <w:tabs>
          <w:tab w:val="num" w:pos="720"/>
        </w:tabs>
        <w:ind w:left="720"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F321F5"/>
    <w:multiLevelType w:val="hybridMultilevel"/>
    <w:tmpl w:val="C50E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8D5241"/>
    <w:multiLevelType w:val="hybridMultilevel"/>
    <w:tmpl w:val="60D8D814"/>
    <w:lvl w:ilvl="0" w:tplc="7BC006F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D786D2E"/>
    <w:multiLevelType w:val="hybridMultilevel"/>
    <w:tmpl w:val="80CCAD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3E3029"/>
    <w:multiLevelType w:val="hybridMultilevel"/>
    <w:tmpl w:val="C03659C0"/>
    <w:lvl w:ilvl="0" w:tplc="04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45E0B20"/>
    <w:multiLevelType w:val="hybridMultilevel"/>
    <w:tmpl w:val="E67811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51A327A"/>
    <w:multiLevelType w:val="hybridMultilevel"/>
    <w:tmpl w:val="8000F166"/>
    <w:lvl w:ilvl="0" w:tplc="7D6C318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59074FC"/>
    <w:multiLevelType w:val="hybridMultilevel"/>
    <w:tmpl w:val="56E0648C"/>
    <w:lvl w:ilvl="0" w:tplc="0409000F">
      <w:start w:val="1"/>
      <w:numFmt w:val="decimal"/>
      <w:lvlText w:val="%1."/>
      <w:lvlJc w:val="left"/>
      <w:pPr>
        <w:tabs>
          <w:tab w:val="num" w:pos="720"/>
        </w:tabs>
        <w:ind w:left="720" w:hanging="360"/>
      </w:pPr>
      <w:rPr>
        <w:rFonts w:hint="default"/>
      </w:rPr>
    </w:lvl>
    <w:lvl w:ilvl="1" w:tplc="B908F5CA">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1F58E0"/>
    <w:multiLevelType w:val="hybridMultilevel"/>
    <w:tmpl w:val="016AAD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5D2E4F"/>
    <w:multiLevelType w:val="hybridMultilevel"/>
    <w:tmpl w:val="57140A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0657D7"/>
    <w:multiLevelType w:val="hybridMultilevel"/>
    <w:tmpl w:val="FED491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FD85F6E"/>
    <w:multiLevelType w:val="hybridMultilevel"/>
    <w:tmpl w:val="4E407A8C"/>
    <w:lvl w:ilvl="0" w:tplc="4768BFE0">
      <w:start w:val="6"/>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543B2F3F"/>
    <w:multiLevelType w:val="hybridMultilevel"/>
    <w:tmpl w:val="9844DE9C"/>
    <w:lvl w:ilvl="0" w:tplc="7026C38E">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505B9A"/>
    <w:multiLevelType w:val="hybridMultilevel"/>
    <w:tmpl w:val="C19ABBD8"/>
    <w:lvl w:ilvl="0" w:tplc="0409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9AD1B79"/>
    <w:multiLevelType w:val="hybridMultilevel"/>
    <w:tmpl w:val="4AF03584"/>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A2041F6"/>
    <w:multiLevelType w:val="hybridMultilevel"/>
    <w:tmpl w:val="2594FC20"/>
    <w:lvl w:ilvl="0" w:tplc="E5DA9B74">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631233F"/>
    <w:multiLevelType w:val="hybridMultilevel"/>
    <w:tmpl w:val="AF6C6E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6620614"/>
    <w:multiLevelType w:val="hybridMultilevel"/>
    <w:tmpl w:val="B7AEFF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E904BCC"/>
    <w:multiLevelType w:val="hybridMultilevel"/>
    <w:tmpl w:val="C03659C0"/>
    <w:lvl w:ilvl="0" w:tplc="04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73C1774"/>
    <w:multiLevelType w:val="hybridMultilevel"/>
    <w:tmpl w:val="AEB25EB0"/>
    <w:lvl w:ilvl="0" w:tplc="98961A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0E4D85"/>
    <w:multiLevelType w:val="hybridMultilevel"/>
    <w:tmpl w:val="6826D2EA"/>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EB11242"/>
    <w:multiLevelType w:val="hybridMultilevel"/>
    <w:tmpl w:val="4010364C"/>
    <w:lvl w:ilvl="0" w:tplc="7294029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5"/>
  </w:num>
  <w:num w:numId="2">
    <w:abstractNumId w:val="35"/>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num>
  <w:num w:numId="6">
    <w:abstractNumId w:val="23"/>
  </w:num>
  <w:num w:numId="7">
    <w:abstractNumId w:val="30"/>
  </w:num>
  <w:num w:numId="8">
    <w:abstractNumId w:val="26"/>
  </w:num>
  <w:num w:numId="9">
    <w:abstractNumId w:val="19"/>
  </w:num>
  <w:num w:numId="10">
    <w:abstractNumId w:val="8"/>
  </w:num>
  <w:num w:numId="11">
    <w:abstractNumId w:val="18"/>
  </w:num>
  <w:num w:numId="12">
    <w:abstractNumId w:val="33"/>
  </w:num>
  <w:num w:numId="13">
    <w:abstractNumId w:val="37"/>
  </w:num>
  <w:num w:numId="14">
    <w:abstractNumId w:val="24"/>
  </w:num>
  <w:num w:numId="15">
    <w:abstractNumId w:val="21"/>
  </w:num>
  <w:num w:numId="16">
    <w:abstractNumId w:val="31"/>
  </w:num>
  <w:num w:numId="17">
    <w:abstractNumId w:val="22"/>
  </w:num>
  <w:num w:numId="18">
    <w:abstractNumId w:val="5"/>
  </w:num>
  <w:num w:numId="19">
    <w:abstractNumId w:val="1"/>
  </w:num>
  <w:num w:numId="20">
    <w:abstractNumId w:val="32"/>
  </w:num>
  <w:num w:numId="21">
    <w:abstractNumId w:val="2"/>
  </w:num>
  <w:num w:numId="22">
    <w:abstractNumId w:val="15"/>
  </w:num>
  <w:num w:numId="23">
    <w:abstractNumId w:val="28"/>
  </w:num>
  <w:num w:numId="24">
    <w:abstractNumId w:val="16"/>
  </w:num>
  <w:num w:numId="25">
    <w:abstractNumId w:val="14"/>
  </w:num>
  <w:num w:numId="26">
    <w:abstractNumId w:val="0"/>
  </w:num>
  <w:num w:numId="27">
    <w:abstractNumId w:val="12"/>
  </w:num>
  <w:num w:numId="28">
    <w:abstractNumId w:val="3"/>
  </w:num>
  <w:num w:numId="29">
    <w:abstractNumId w:val="17"/>
  </w:num>
  <w:num w:numId="30">
    <w:abstractNumId w:val="9"/>
  </w:num>
  <w:num w:numId="31">
    <w:abstractNumId w:val="20"/>
  </w:num>
  <w:num w:numId="32">
    <w:abstractNumId w:val="6"/>
  </w:num>
  <w:num w:numId="33">
    <w:abstractNumId w:val="34"/>
  </w:num>
  <w:num w:numId="34">
    <w:abstractNumId w:val="29"/>
  </w:num>
  <w:num w:numId="35">
    <w:abstractNumId w:val="36"/>
  </w:num>
  <w:num w:numId="36">
    <w:abstractNumId w:val="2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4BD"/>
    <w:rsid w:val="0000000D"/>
    <w:rsid w:val="000021E5"/>
    <w:rsid w:val="000072C1"/>
    <w:rsid w:val="00014D7F"/>
    <w:rsid w:val="00016514"/>
    <w:rsid w:val="00025695"/>
    <w:rsid w:val="000264B0"/>
    <w:rsid w:val="00026FBD"/>
    <w:rsid w:val="00031CC7"/>
    <w:rsid w:val="00033D50"/>
    <w:rsid w:val="000345B3"/>
    <w:rsid w:val="000351D9"/>
    <w:rsid w:val="000352BB"/>
    <w:rsid w:val="00037600"/>
    <w:rsid w:val="00042294"/>
    <w:rsid w:val="00050BA7"/>
    <w:rsid w:val="0005518A"/>
    <w:rsid w:val="00062F38"/>
    <w:rsid w:val="000635D8"/>
    <w:rsid w:val="000644FB"/>
    <w:rsid w:val="00064EF5"/>
    <w:rsid w:val="00065D59"/>
    <w:rsid w:val="00067261"/>
    <w:rsid w:val="00071467"/>
    <w:rsid w:val="00071D10"/>
    <w:rsid w:val="00073430"/>
    <w:rsid w:val="00077317"/>
    <w:rsid w:val="00077AA9"/>
    <w:rsid w:val="00080906"/>
    <w:rsid w:val="00081ADF"/>
    <w:rsid w:val="0008303F"/>
    <w:rsid w:val="00085C22"/>
    <w:rsid w:val="00094295"/>
    <w:rsid w:val="00094450"/>
    <w:rsid w:val="000A5BA1"/>
    <w:rsid w:val="000B040B"/>
    <w:rsid w:val="000B6EE6"/>
    <w:rsid w:val="000B7714"/>
    <w:rsid w:val="000C0187"/>
    <w:rsid w:val="000C63B5"/>
    <w:rsid w:val="000C6A98"/>
    <w:rsid w:val="000C7517"/>
    <w:rsid w:val="000D0795"/>
    <w:rsid w:val="000D4242"/>
    <w:rsid w:val="000D555D"/>
    <w:rsid w:val="000E3046"/>
    <w:rsid w:val="000E4C6F"/>
    <w:rsid w:val="000E55AC"/>
    <w:rsid w:val="000E56DD"/>
    <w:rsid w:val="000E76B8"/>
    <w:rsid w:val="000E7F82"/>
    <w:rsid w:val="00102CAF"/>
    <w:rsid w:val="00107297"/>
    <w:rsid w:val="001127B6"/>
    <w:rsid w:val="00112D06"/>
    <w:rsid w:val="0011336C"/>
    <w:rsid w:val="00115809"/>
    <w:rsid w:val="00120B90"/>
    <w:rsid w:val="00120D76"/>
    <w:rsid w:val="001210EE"/>
    <w:rsid w:val="00122596"/>
    <w:rsid w:val="0012301A"/>
    <w:rsid w:val="00130887"/>
    <w:rsid w:val="0013115C"/>
    <w:rsid w:val="00132B27"/>
    <w:rsid w:val="00132BC2"/>
    <w:rsid w:val="00137212"/>
    <w:rsid w:val="001400C9"/>
    <w:rsid w:val="001431E5"/>
    <w:rsid w:val="001442A4"/>
    <w:rsid w:val="001520C8"/>
    <w:rsid w:val="001572AB"/>
    <w:rsid w:val="001625DE"/>
    <w:rsid w:val="00163741"/>
    <w:rsid w:val="001661CF"/>
    <w:rsid w:val="00166DCE"/>
    <w:rsid w:val="001701FF"/>
    <w:rsid w:val="00173DF9"/>
    <w:rsid w:val="0017690C"/>
    <w:rsid w:val="00177BB3"/>
    <w:rsid w:val="00180402"/>
    <w:rsid w:val="001808BC"/>
    <w:rsid w:val="00183977"/>
    <w:rsid w:val="00185BC5"/>
    <w:rsid w:val="00191B95"/>
    <w:rsid w:val="001925D4"/>
    <w:rsid w:val="001944F1"/>
    <w:rsid w:val="001959C7"/>
    <w:rsid w:val="001960A4"/>
    <w:rsid w:val="001A103D"/>
    <w:rsid w:val="001A21CE"/>
    <w:rsid w:val="001A2798"/>
    <w:rsid w:val="001B05FF"/>
    <w:rsid w:val="001B1127"/>
    <w:rsid w:val="001B2255"/>
    <w:rsid w:val="001B2527"/>
    <w:rsid w:val="001B64A6"/>
    <w:rsid w:val="001C452C"/>
    <w:rsid w:val="001C5815"/>
    <w:rsid w:val="001C7FD9"/>
    <w:rsid w:val="001D0669"/>
    <w:rsid w:val="001D2597"/>
    <w:rsid w:val="001D3267"/>
    <w:rsid w:val="001D3993"/>
    <w:rsid w:val="001D60C8"/>
    <w:rsid w:val="001E1C7A"/>
    <w:rsid w:val="001E4D6E"/>
    <w:rsid w:val="001F2BB4"/>
    <w:rsid w:val="001F3B9B"/>
    <w:rsid w:val="001F475D"/>
    <w:rsid w:val="001F4FC3"/>
    <w:rsid w:val="001F5217"/>
    <w:rsid w:val="0020422D"/>
    <w:rsid w:val="00204831"/>
    <w:rsid w:val="002053F5"/>
    <w:rsid w:val="00205F5D"/>
    <w:rsid w:val="002061F3"/>
    <w:rsid w:val="00210085"/>
    <w:rsid w:val="0021597C"/>
    <w:rsid w:val="002163D5"/>
    <w:rsid w:val="00216644"/>
    <w:rsid w:val="00223EB7"/>
    <w:rsid w:val="00227455"/>
    <w:rsid w:val="00234FBA"/>
    <w:rsid w:val="00235C1C"/>
    <w:rsid w:val="002402B8"/>
    <w:rsid w:val="002468CA"/>
    <w:rsid w:val="00247B36"/>
    <w:rsid w:val="002509F7"/>
    <w:rsid w:val="002512F6"/>
    <w:rsid w:val="00252221"/>
    <w:rsid w:val="002579E5"/>
    <w:rsid w:val="00266AF2"/>
    <w:rsid w:val="0027153D"/>
    <w:rsid w:val="00272130"/>
    <w:rsid w:val="00277DA0"/>
    <w:rsid w:val="002804FE"/>
    <w:rsid w:val="00283AE7"/>
    <w:rsid w:val="00285F50"/>
    <w:rsid w:val="00286C03"/>
    <w:rsid w:val="0028778C"/>
    <w:rsid w:val="002923A7"/>
    <w:rsid w:val="002926D0"/>
    <w:rsid w:val="002A0914"/>
    <w:rsid w:val="002A1C5A"/>
    <w:rsid w:val="002A2899"/>
    <w:rsid w:val="002B5252"/>
    <w:rsid w:val="002C1D22"/>
    <w:rsid w:val="002C7EEC"/>
    <w:rsid w:val="002D7379"/>
    <w:rsid w:val="002D7399"/>
    <w:rsid w:val="002E2F34"/>
    <w:rsid w:val="002E32BB"/>
    <w:rsid w:val="002E5BF6"/>
    <w:rsid w:val="002F22EB"/>
    <w:rsid w:val="002F7B31"/>
    <w:rsid w:val="0030063A"/>
    <w:rsid w:val="0030443B"/>
    <w:rsid w:val="00305875"/>
    <w:rsid w:val="0030615B"/>
    <w:rsid w:val="00306E8F"/>
    <w:rsid w:val="00307AAC"/>
    <w:rsid w:val="00312437"/>
    <w:rsid w:val="00314742"/>
    <w:rsid w:val="00314891"/>
    <w:rsid w:val="003200A0"/>
    <w:rsid w:val="003204DD"/>
    <w:rsid w:val="00321C78"/>
    <w:rsid w:val="0032478C"/>
    <w:rsid w:val="00333301"/>
    <w:rsid w:val="00334166"/>
    <w:rsid w:val="003417A4"/>
    <w:rsid w:val="00350788"/>
    <w:rsid w:val="00350EB3"/>
    <w:rsid w:val="00353CCE"/>
    <w:rsid w:val="00363F61"/>
    <w:rsid w:val="00364198"/>
    <w:rsid w:val="003648AB"/>
    <w:rsid w:val="00370DEE"/>
    <w:rsid w:val="00372A8E"/>
    <w:rsid w:val="00374498"/>
    <w:rsid w:val="003901EE"/>
    <w:rsid w:val="00390CDA"/>
    <w:rsid w:val="00390EC3"/>
    <w:rsid w:val="00392582"/>
    <w:rsid w:val="0039381D"/>
    <w:rsid w:val="003A02DE"/>
    <w:rsid w:val="003A224E"/>
    <w:rsid w:val="003A33C5"/>
    <w:rsid w:val="003B26D6"/>
    <w:rsid w:val="003B2B42"/>
    <w:rsid w:val="003B3349"/>
    <w:rsid w:val="003C4656"/>
    <w:rsid w:val="003C5DC2"/>
    <w:rsid w:val="003D14F7"/>
    <w:rsid w:val="003D49BB"/>
    <w:rsid w:val="003D4E7B"/>
    <w:rsid w:val="003D63A5"/>
    <w:rsid w:val="003D72FF"/>
    <w:rsid w:val="003E1BC5"/>
    <w:rsid w:val="003E2E0A"/>
    <w:rsid w:val="003F44AF"/>
    <w:rsid w:val="003F62B4"/>
    <w:rsid w:val="003F794E"/>
    <w:rsid w:val="00400F93"/>
    <w:rsid w:val="00404EC7"/>
    <w:rsid w:val="00407695"/>
    <w:rsid w:val="004114ED"/>
    <w:rsid w:val="004225A6"/>
    <w:rsid w:val="00423026"/>
    <w:rsid w:val="00424FF0"/>
    <w:rsid w:val="0043167E"/>
    <w:rsid w:val="00433E37"/>
    <w:rsid w:val="004361C5"/>
    <w:rsid w:val="00441AAB"/>
    <w:rsid w:val="00442AA0"/>
    <w:rsid w:val="0044395F"/>
    <w:rsid w:val="00447447"/>
    <w:rsid w:val="004478E2"/>
    <w:rsid w:val="00447CB5"/>
    <w:rsid w:val="004510E2"/>
    <w:rsid w:val="004547F2"/>
    <w:rsid w:val="00461830"/>
    <w:rsid w:val="00475706"/>
    <w:rsid w:val="0048202D"/>
    <w:rsid w:val="00482540"/>
    <w:rsid w:val="004871D7"/>
    <w:rsid w:val="00493A24"/>
    <w:rsid w:val="004A21F0"/>
    <w:rsid w:val="004A71D2"/>
    <w:rsid w:val="004B38BE"/>
    <w:rsid w:val="004B48D5"/>
    <w:rsid w:val="004B5C8D"/>
    <w:rsid w:val="004B77B4"/>
    <w:rsid w:val="004C23DA"/>
    <w:rsid w:val="004C405C"/>
    <w:rsid w:val="004C7943"/>
    <w:rsid w:val="004D183B"/>
    <w:rsid w:val="004D2176"/>
    <w:rsid w:val="004D3840"/>
    <w:rsid w:val="004D3BB9"/>
    <w:rsid w:val="004D6199"/>
    <w:rsid w:val="004D6E17"/>
    <w:rsid w:val="004E0E09"/>
    <w:rsid w:val="004E4CDA"/>
    <w:rsid w:val="004E7523"/>
    <w:rsid w:val="004F0B0C"/>
    <w:rsid w:val="005025C8"/>
    <w:rsid w:val="005047BC"/>
    <w:rsid w:val="0050621B"/>
    <w:rsid w:val="00513852"/>
    <w:rsid w:val="00514904"/>
    <w:rsid w:val="00524861"/>
    <w:rsid w:val="00525C06"/>
    <w:rsid w:val="00525FBB"/>
    <w:rsid w:val="005278E5"/>
    <w:rsid w:val="00531D4D"/>
    <w:rsid w:val="0053457C"/>
    <w:rsid w:val="00536750"/>
    <w:rsid w:val="00537E99"/>
    <w:rsid w:val="005405C8"/>
    <w:rsid w:val="00542B69"/>
    <w:rsid w:val="00543AA7"/>
    <w:rsid w:val="00543B4D"/>
    <w:rsid w:val="00550F20"/>
    <w:rsid w:val="00556385"/>
    <w:rsid w:val="005639D2"/>
    <w:rsid w:val="00571550"/>
    <w:rsid w:val="005728D7"/>
    <w:rsid w:val="00574936"/>
    <w:rsid w:val="00580B59"/>
    <w:rsid w:val="00581158"/>
    <w:rsid w:val="00584727"/>
    <w:rsid w:val="005867B8"/>
    <w:rsid w:val="00590341"/>
    <w:rsid w:val="00591A96"/>
    <w:rsid w:val="005A25C7"/>
    <w:rsid w:val="005A327D"/>
    <w:rsid w:val="005B178C"/>
    <w:rsid w:val="005B1FE0"/>
    <w:rsid w:val="005B4605"/>
    <w:rsid w:val="005B5F6F"/>
    <w:rsid w:val="005C1353"/>
    <w:rsid w:val="005C1410"/>
    <w:rsid w:val="005C4BCA"/>
    <w:rsid w:val="005D4375"/>
    <w:rsid w:val="005D5E58"/>
    <w:rsid w:val="005F0CD6"/>
    <w:rsid w:val="005F16A3"/>
    <w:rsid w:val="006025D4"/>
    <w:rsid w:val="006045C2"/>
    <w:rsid w:val="00613AB5"/>
    <w:rsid w:val="0061753E"/>
    <w:rsid w:val="0062279D"/>
    <w:rsid w:val="00623FA5"/>
    <w:rsid w:val="00626659"/>
    <w:rsid w:val="00626B83"/>
    <w:rsid w:val="00631896"/>
    <w:rsid w:val="00632516"/>
    <w:rsid w:val="00635D93"/>
    <w:rsid w:val="00640968"/>
    <w:rsid w:val="006551ED"/>
    <w:rsid w:val="00655305"/>
    <w:rsid w:val="0066328B"/>
    <w:rsid w:val="00672484"/>
    <w:rsid w:val="006774A9"/>
    <w:rsid w:val="006801D3"/>
    <w:rsid w:val="006810B1"/>
    <w:rsid w:val="006822FE"/>
    <w:rsid w:val="00682909"/>
    <w:rsid w:val="0068553C"/>
    <w:rsid w:val="006865A0"/>
    <w:rsid w:val="00686BD0"/>
    <w:rsid w:val="0069229D"/>
    <w:rsid w:val="006A1545"/>
    <w:rsid w:val="006A3BCB"/>
    <w:rsid w:val="006B00CB"/>
    <w:rsid w:val="006B0E24"/>
    <w:rsid w:val="006B7062"/>
    <w:rsid w:val="006C1B64"/>
    <w:rsid w:val="006C207D"/>
    <w:rsid w:val="006C5253"/>
    <w:rsid w:val="006E0890"/>
    <w:rsid w:val="006E3C50"/>
    <w:rsid w:val="006F1FAC"/>
    <w:rsid w:val="006F2910"/>
    <w:rsid w:val="00710CCA"/>
    <w:rsid w:val="00712368"/>
    <w:rsid w:val="007259EE"/>
    <w:rsid w:val="00730EAF"/>
    <w:rsid w:val="00736D63"/>
    <w:rsid w:val="00740EBB"/>
    <w:rsid w:val="00742945"/>
    <w:rsid w:val="0074776C"/>
    <w:rsid w:val="00751BD5"/>
    <w:rsid w:val="00763965"/>
    <w:rsid w:val="00767793"/>
    <w:rsid w:val="007714A1"/>
    <w:rsid w:val="00776811"/>
    <w:rsid w:val="007A046C"/>
    <w:rsid w:val="007A0895"/>
    <w:rsid w:val="007A53B1"/>
    <w:rsid w:val="007A6E70"/>
    <w:rsid w:val="007B090D"/>
    <w:rsid w:val="007B60CE"/>
    <w:rsid w:val="007C6B98"/>
    <w:rsid w:val="007D6735"/>
    <w:rsid w:val="007E442E"/>
    <w:rsid w:val="007E73E4"/>
    <w:rsid w:val="007F1CE2"/>
    <w:rsid w:val="007F24FA"/>
    <w:rsid w:val="007F3A07"/>
    <w:rsid w:val="007F3B08"/>
    <w:rsid w:val="007F738D"/>
    <w:rsid w:val="00804E70"/>
    <w:rsid w:val="00811424"/>
    <w:rsid w:val="0081277E"/>
    <w:rsid w:val="00815024"/>
    <w:rsid w:val="00815597"/>
    <w:rsid w:val="0082014E"/>
    <w:rsid w:val="00821E74"/>
    <w:rsid w:val="008237F0"/>
    <w:rsid w:val="00835C02"/>
    <w:rsid w:val="0084102C"/>
    <w:rsid w:val="00841708"/>
    <w:rsid w:val="0084363B"/>
    <w:rsid w:val="008478A3"/>
    <w:rsid w:val="008518F2"/>
    <w:rsid w:val="00857144"/>
    <w:rsid w:val="00857F14"/>
    <w:rsid w:val="008615F3"/>
    <w:rsid w:val="00864DB2"/>
    <w:rsid w:val="00865FE9"/>
    <w:rsid w:val="00872DE9"/>
    <w:rsid w:val="0087375C"/>
    <w:rsid w:val="00883DB9"/>
    <w:rsid w:val="008905EC"/>
    <w:rsid w:val="00891AB2"/>
    <w:rsid w:val="008927B0"/>
    <w:rsid w:val="0089349B"/>
    <w:rsid w:val="008962B7"/>
    <w:rsid w:val="008A5DA0"/>
    <w:rsid w:val="008A737A"/>
    <w:rsid w:val="008B07B5"/>
    <w:rsid w:val="008B3A84"/>
    <w:rsid w:val="008C2710"/>
    <w:rsid w:val="008C65D3"/>
    <w:rsid w:val="008C72E0"/>
    <w:rsid w:val="008D27A1"/>
    <w:rsid w:val="008E1D94"/>
    <w:rsid w:val="008E2022"/>
    <w:rsid w:val="008E6CC6"/>
    <w:rsid w:val="008F5AD0"/>
    <w:rsid w:val="008F7633"/>
    <w:rsid w:val="0092516F"/>
    <w:rsid w:val="00926C01"/>
    <w:rsid w:val="009301BC"/>
    <w:rsid w:val="009331E1"/>
    <w:rsid w:val="00935CF9"/>
    <w:rsid w:val="009415BF"/>
    <w:rsid w:val="00941954"/>
    <w:rsid w:val="00961492"/>
    <w:rsid w:val="009675DF"/>
    <w:rsid w:val="009724BD"/>
    <w:rsid w:val="009738D9"/>
    <w:rsid w:val="00977E4A"/>
    <w:rsid w:val="00982BCF"/>
    <w:rsid w:val="009858F2"/>
    <w:rsid w:val="00985C4F"/>
    <w:rsid w:val="009923E5"/>
    <w:rsid w:val="009970D2"/>
    <w:rsid w:val="009A2EB9"/>
    <w:rsid w:val="009A2FE4"/>
    <w:rsid w:val="009B026E"/>
    <w:rsid w:val="009B194C"/>
    <w:rsid w:val="009B3DAE"/>
    <w:rsid w:val="009B4364"/>
    <w:rsid w:val="009B4851"/>
    <w:rsid w:val="009B7058"/>
    <w:rsid w:val="009C3F58"/>
    <w:rsid w:val="009C5BC7"/>
    <w:rsid w:val="009C67D6"/>
    <w:rsid w:val="009E1AB7"/>
    <w:rsid w:val="009E6038"/>
    <w:rsid w:val="009E693C"/>
    <w:rsid w:val="009E7EDD"/>
    <w:rsid w:val="009F0ADD"/>
    <w:rsid w:val="009F185C"/>
    <w:rsid w:val="00A02358"/>
    <w:rsid w:val="00A02823"/>
    <w:rsid w:val="00A031AB"/>
    <w:rsid w:val="00A03531"/>
    <w:rsid w:val="00A03C4D"/>
    <w:rsid w:val="00A03D23"/>
    <w:rsid w:val="00A06BFF"/>
    <w:rsid w:val="00A113DF"/>
    <w:rsid w:val="00A15A21"/>
    <w:rsid w:val="00A22856"/>
    <w:rsid w:val="00A32376"/>
    <w:rsid w:val="00A32AA7"/>
    <w:rsid w:val="00A40635"/>
    <w:rsid w:val="00A4578C"/>
    <w:rsid w:val="00A506F4"/>
    <w:rsid w:val="00A56E75"/>
    <w:rsid w:val="00A63338"/>
    <w:rsid w:val="00A676EF"/>
    <w:rsid w:val="00A71370"/>
    <w:rsid w:val="00A715A9"/>
    <w:rsid w:val="00A77D7B"/>
    <w:rsid w:val="00A81222"/>
    <w:rsid w:val="00A848A7"/>
    <w:rsid w:val="00A86385"/>
    <w:rsid w:val="00A9053E"/>
    <w:rsid w:val="00A90BC0"/>
    <w:rsid w:val="00A93FDF"/>
    <w:rsid w:val="00AA2F43"/>
    <w:rsid w:val="00AA352A"/>
    <w:rsid w:val="00AB2492"/>
    <w:rsid w:val="00AB7D2E"/>
    <w:rsid w:val="00AC0A8A"/>
    <w:rsid w:val="00AC64A7"/>
    <w:rsid w:val="00AC7A3E"/>
    <w:rsid w:val="00AC7CF5"/>
    <w:rsid w:val="00AD3C7F"/>
    <w:rsid w:val="00AD4865"/>
    <w:rsid w:val="00AE61A8"/>
    <w:rsid w:val="00AF41DD"/>
    <w:rsid w:val="00B00975"/>
    <w:rsid w:val="00B0345B"/>
    <w:rsid w:val="00B10C6D"/>
    <w:rsid w:val="00B24CD5"/>
    <w:rsid w:val="00B25FEF"/>
    <w:rsid w:val="00B30F21"/>
    <w:rsid w:val="00B31847"/>
    <w:rsid w:val="00B41EF1"/>
    <w:rsid w:val="00B43805"/>
    <w:rsid w:val="00B45B5E"/>
    <w:rsid w:val="00B45FCE"/>
    <w:rsid w:val="00B47F17"/>
    <w:rsid w:val="00B5113B"/>
    <w:rsid w:val="00B51ADF"/>
    <w:rsid w:val="00B520FB"/>
    <w:rsid w:val="00B61363"/>
    <w:rsid w:val="00B67AC0"/>
    <w:rsid w:val="00B76C25"/>
    <w:rsid w:val="00B854E3"/>
    <w:rsid w:val="00B8739A"/>
    <w:rsid w:val="00B87586"/>
    <w:rsid w:val="00B95F39"/>
    <w:rsid w:val="00BA763B"/>
    <w:rsid w:val="00BC324A"/>
    <w:rsid w:val="00BC4307"/>
    <w:rsid w:val="00BC43A0"/>
    <w:rsid w:val="00BC6D4C"/>
    <w:rsid w:val="00BC7147"/>
    <w:rsid w:val="00BC759C"/>
    <w:rsid w:val="00BD09F0"/>
    <w:rsid w:val="00BD0C07"/>
    <w:rsid w:val="00BD293E"/>
    <w:rsid w:val="00BD47D1"/>
    <w:rsid w:val="00BD5E62"/>
    <w:rsid w:val="00BD631A"/>
    <w:rsid w:val="00BE2F15"/>
    <w:rsid w:val="00BE5917"/>
    <w:rsid w:val="00BE5D76"/>
    <w:rsid w:val="00BF00C1"/>
    <w:rsid w:val="00BF0D69"/>
    <w:rsid w:val="00BF1630"/>
    <w:rsid w:val="00BF269F"/>
    <w:rsid w:val="00BF6C79"/>
    <w:rsid w:val="00C022C7"/>
    <w:rsid w:val="00C0632B"/>
    <w:rsid w:val="00C07972"/>
    <w:rsid w:val="00C159A9"/>
    <w:rsid w:val="00C1798A"/>
    <w:rsid w:val="00C22E47"/>
    <w:rsid w:val="00C25C6C"/>
    <w:rsid w:val="00C439B6"/>
    <w:rsid w:val="00C46869"/>
    <w:rsid w:val="00C507DC"/>
    <w:rsid w:val="00C53FE7"/>
    <w:rsid w:val="00C558DB"/>
    <w:rsid w:val="00C61030"/>
    <w:rsid w:val="00C6182C"/>
    <w:rsid w:val="00C65DB6"/>
    <w:rsid w:val="00C66C7A"/>
    <w:rsid w:val="00C67526"/>
    <w:rsid w:val="00C74A16"/>
    <w:rsid w:val="00C75203"/>
    <w:rsid w:val="00C75F5F"/>
    <w:rsid w:val="00C81D90"/>
    <w:rsid w:val="00C82FFC"/>
    <w:rsid w:val="00C840CE"/>
    <w:rsid w:val="00C929DA"/>
    <w:rsid w:val="00C9414C"/>
    <w:rsid w:val="00C9429F"/>
    <w:rsid w:val="00C96329"/>
    <w:rsid w:val="00CA5CC9"/>
    <w:rsid w:val="00CA6A8E"/>
    <w:rsid w:val="00CC0640"/>
    <w:rsid w:val="00CD64E6"/>
    <w:rsid w:val="00CD73C9"/>
    <w:rsid w:val="00CE2D98"/>
    <w:rsid w:val="00CF20A7"/>
    <w:rsid w:val="00CF2D15"/>
    <w:rsid w:val="00D02908"/>
    <w:rsid w:val="00D10F9F"/>
    <w:rsid w:val="00D1221B"/>
    <w:rsid w:val="00D12374"/>
    <w:rsid w:val="00D1343B"/>
    <w:rsid w:val="00D15C08"/>
    <w:rsid w:val="00D20B13"/>
    <w:rsid w:val="00D22D1A"/>
    <w:rsid w:val="00D24F90"/>
    <w:rsid w:val="00D336A1"/>
    <w:rsid w:val="00D34959"/>
    <w:rsid w:val="00D34996"/>
    <w:rsid w:val="00D41832"/>
    <w:rsid w:val="00D44BEC"/>
    <w:rsid w:val="00D51599"/>
    <w:rsid w:val="00D5222C"/>
    <w:rsid w:val="00D534BD"/>
    <w:rsid w:val="00D546F5"/>
    <w:rsid w:val="00D605DC"/>
    <w:rsid w:val="00D67465"/>
    <w:rsid w:val="00D67BA3"/>
    <w:rsid w:val="00D7075A"/>
    <w:rsid w:val="00D70C09"/>
    <w:rsid w:val="00D72447"/>
    <w:rsid w:val="00D74422"/>
    <w:rsid w:val="00D74719"/>
    <w:rsid w:val="00D75697"/>
    <w:rsid w:val="00D76F83"/>
    <w:rsid w:val="00D819D0"/>
    <w:rsid w:val="00D84169"/>
    <w:rsid w:val="00D86A2C"/>
    <w:rsid w:val="00DA1F98"/>
    <w:rsid w:val="00DC1C1C"/>
    <w:rsid w:val="00DC46CF"/>
    <w:rsid w:val="00DC5037"/>
    <w:rsid w:val="00DD4962"/>
    <w:rsid w:val="00DD5B7D"/>
    <w:rsid w:val="00DE25EF"/>
    <w:rsid w:val="00DE4B09"/>
    <w:rsid w:val="00DE669C"/>
    <w:rsid w:val="00DF7046"/>
    <w:rsid w:val="00E00B49"/>
    <w:rsid w:val="00E03107"/>
    <w:rsid w:val="00E05EE4"/>
    <w:rsid w:val="00E06788"/>
    <w:rsid w:val="00E10D9F"/>
    <w:rsid w:val="00E20A70"/>
    <w:rsid w:val="00E21292"/>
    <w:rsid w:val="00E21612"/>
    <w:rsid w:val="00E31C08"/>
    <w:rsid w:val="00E32FFD"/>
    <w:rsid w:val="00E33F46"/>
    <w:rsid w:val="00E34A82"/>
    <w:rsid w:val="00E36B2D"/>
    <w:rsid w:val="00E61BDB"/>
    <w:rsid w:val="00E62358"/>
    <w:rsid w:val="00E632BA"/>
    <w:rsid w:val="00E63937"/>
    <w:rsid w:val="00E65A8D"/>
    <w:rsid w:val="00E71147"/>
    <w:rsid w:val="00E80639"/>
    <w:rsid w:val="00E811FC"/>
    <w:rsid w:val="00E822D9"/>
    <w:rsid w:val="00E84A58"/>
    <w:rsid w:val="00E86EF1"/>
    <w:rsid w:val="00E9421E"/>
    <w:rsid w:val="00E945F6"/>
    <w:rsid w:val="00E9718C"/>
    <w:rsid w:val="00EA23CB"/>
    <w:rsid w:val="00EA44DB"/>
    <w:rsid w:val="00EA6A24"/>
    <w:rsid w:val="00EB09C2"/>
    <w:rsid w:val="00EB1327"/>
    <w:rsid w:val="00EB5E03"/>
    <w:rsid w:val="00EB6C14"/>
    <w:rsid w:val="00EB7EB6"/>
    <w:rsid w:val="00EC359E"/>
    <w:rsid w:val="00ED07CB"/>
    <w:rsid w:val="00EE2DAE"/>
    <w:rsid w:val="00EF12D3"/>
    <w:rsid w:val="00EF1E56"/>
    <w:rsid w:val="00EF32D0"/>
    <w:rsid w:val="00EF6F47"/>
    <w:rsid w:val="00F01315"/>
    <w:rsid w:val="00F07718"/>
    <w:rsid w:val="00F07807"/>
    <w:rsid w:val="00F21553"/>
    <w:rsid w:val="00F2379A"/>
    <w:rsid w:val="00F246A2"/>
    <w:rsid w:val="00F35FF4"/>
    <w:rsid w:val="00F36F4C"/>
    <w:rsid w:val="00F4122C"/>
    <w:rsid w:val="00F4137B"/>
    <w:rsid w:val="00F426E8"/>
    <w:rsid w:val="00F45905"/>
    <w:rsid w:val="00F464BB"/>
    <w:rsid w:val="00F53FB6"/>
    <w:rsid w:val="00F5593C"/>
    <w:rsid w:val="00F57722"/>
    <w:rsid w:val="00F608E4"/>
    <w:rsid w:val="00F61C42"/>
    <w:rsid w:val="00F70782"/>
    <w:rsid w:val="00F7109B"/>
    <w:rsid w:val="00F72385"/>
    <w:rsid w:val="00F75AD6"/>
    <w:rsid w:val="00F81E5A"/>
    <w:rsid w:val="00F82E7F"/>
    <w:rsid w:val="00F87120"/>
    <w:rsid w:val="00F91E28"/>
    <w:rsid w:val="00F928D5"/>
    <w:rsid w:val="00F94806"/>
    <w:rsid w:val="00F94BC0"/>
    <w:rsid w:val="00F967CB"/>
    <w:rsid w:val="00F970D4"/>
    <w:rsid w:val="00FA1F70"/>
    <w:rsid w:val="00FA5834"/>
    <w:rsid w:val="00FA64EC"/>
    <w:rsid w:val="00FA7459"/>
    <w:rsid w:val="00FB1E96"/>
    <w:rsid w:val="00FC0328"/>
    <w:rsid w:val="00FC4F66"/>
    <w:rsid w:val="00FC6112"/>
    <w:rsid w:val="00FC6A24"/>
    <w:rsid w:val="00FD296D"/>
    <w:rsid w:val="00FD3D5A"/>
    <w:rsid w:val="00FD49BB"/>
    <w:rsid w:val="00FD6630"/>
    <w:rsid w:val="00FD70DD"/>
    <w:rsid w:val="00FD758C"/>
    <w:rsid w:val="00FE246E"/>
    <w:rsid w:val="00FE340C"/>
    <w:rsid w:val="00FF0450"/>
    <w:rsid w:val="00FF5368"/>
    <w:rsid w:val="00FF551E"/>
    <w:rsid w:val="00FF593B"/>
    <w:rsid w:val="00FF6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4A811"/>
  <w15:docId w15:val="{F0AFE8CA-1FBE-4308-BA0B-8FE36333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ro-RO"/>
    </w:rPr>
  </w:style>
  <w:style w:type="paragraph" w:styleId="Heading1">
    <w:name w:val="heading 1"/>
    <w:basedOn w:val="Normal"/>
    <w:next w:val="Normal"/>
    <w:qFormat/>
    <w:pPr>
      <w:keepNext/>
      <w:spacing w:line="360" w:lineRule="auto"/>
      <w:outlineLvl w:val="0"/>
    </w:pPr>
    <w:rPr>
      <w:sz w:val="28"/>
    </w:rPr>
  </w:style>
  <w:style w:type="paragraph" w:styleId="Heading2">
    <w:name w:val="heading 2"/>
    <w:basedOn w:val="Normal"/>
    <w:next w:val="Normal"/>
    <w:qFormat/>
    <w:pPr>
      <w:keepNext/>
      <w:jc w:val="both"/>
      <w:outlineLvl w:val="1"/>
    </w:pPr>
    <w:rPr>
      <w:sz w:val="28"/>
    </w:rPr>
  </w:style>
  <w:style w:type="paragraph" w:styleId="Heading3">
    <w:name w:val="heading 3"/>
    <w:basedOn w:val="Normal"/>
    <w:next w:val="Normal"/>
    <w:qFormat/>
    <w:pPr>
      <w:keepNext/>
      <w:spacing w:line="360" w:lineRule="auto"/>
      <w:ind w:left="57" w:right="57"/>
      <w:jc w:val="center"/>
      <w:outlineLvl w:val="2"/>
    </w:pPr>
    <w:rPr>
      <w:sz w:val="28"/>
      <w:szCs w:val="16"/>
    </w:rPr>
  </w:style>
  <w:style w:type="paragraph" w:styleId="Heading4">
    <w:name w:val="heading 4"/>
    <w:basedOn w:val="Normal"/>
    <w:next w:val="Normal"/>
    <w:qFormat/>
    <w:pPr>
      <w:keepNext/>
      <w:spacing w:line="360" w:lineRule="auto"/>
      <w:ind w:left="57" w:right="57"/>
      <w:jc w:val="center"/>
      <w:outlineLvl w:val="3"/>
    </w:pPr>
    <w:rPr>
      <w:b/>
      <w:bCs/>
      <w:sz w:val="28"/>
      <w:szCs w:val="16"/>
    </w:rPr>
  </w:style>
  <w:style w:type="paragraph" w:styleId="Heading5">
    <w:name w:val="heading 5"/>
    <w:basedOn w:val="Normal"/>
    <w:next w:val="Normal"/>
    <w:qFormat/>
    <w:pPr>
      <w:keepNext/>
      <w:ind w:right="57"/>
      <w:jc w:val="center"/>
      <w:outlineLvl w:val="4"/>
    </w:pPr>
    <w:rPr>
      <w:caps/>
      <w:sz w:val="28"/>
    </w:rPr>
  </w:style>
  <w:style w:type="paragraph" w:styleId="Heading6">
    <w:name w:val="heading 6"/>
    <w:basedOn w:val="Normal"/>
    <w:next w:val="Normal"/>
    <w:qFormat/>
    <w:pPr>
      <w:keepNext/>
      <w:spacing w:before="120" w:after="120" w:line="360" w:lineRule="auto"/>
      <w:outlineLvl w:val="5"/>
    </w:pPr>
    <w:rPr>
      <w:b/>
      <w:sz w:val="28"/>
    </w:rPr>
  </w:style>
  <w:style w:type="paragraph" w:styleId="Heading7">
    <w:name w:val="heading 7"/>
    <w:basedOn w:val="Normal"/>
    <w:next w:val="Normal"/>
    <w:qFormat/>
    <w:pPr>
      <w:keepNext/>
      <w:jc w:val="center"/>
      <w:outlineLvl w:val="6"/>
    </w:pPr>
    <w:rPr>
      <w:b/>
      <w:sz w:val="28"/>
      <w:szCs w:val="28"/>
      <w:lang w:eastAsia="ro-RO"/>
    </w:rPr>
  </w:style>
  <w:style w:type="paragraph" w:styleId="Heading8">
    <w:name w:val="heading 8"/>
    <w:basedOn w:val="Normal"/>
    <w:next w:val="Normal"/>
    <w:qFormat/>
    <w:pPr>
      <w:keepNext/>
      <w:jc w:val="center"/>
      <w:outlineLvl w:val="7"/>
    </w:pPr>
    <w:rPr>
      <w:b/>
      <w:bCs/>
      <w:sz w:val="28"/>
      <w:lang w:val="en-US"/>
    </w:rPr>
  </w:style>
  <w:style w:type="paragraph" w:styleId="Heading9">
    <w:name w:val="heading 9"/>
    <w:basedOn w:val="Normal"/>
    <w:next w:val="Normal"/>
    <w:qFormat/>
    <w:pPr>
      <w:keepNext/>
      <w:tabs>
        <w:tab w:val="left" w:pos="5273"/>
        <w:tab w:val="left" w:pos="9464"/>
      </w:tabs>
      <w:spacing w:line="360" w:lineRule="auto"/>
      <w:ind w:left="57" w:right="57" w:hanging="57"/>
      <w:jc w:val="center"/>
      <w:outlineLvl w:val="8"/>
    </w:pPr>
    <w:rPr>
      <w:b/>
      <w:bCs/>
      <w: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style>
  <w:style w:type="paragraph" w:styleId="BodyText">
    <w:name w:val="Body Text"/>
    <w:basedOn w:val="Normal"/>
    <w:semiHidden/>
    <w:pPr>
      <w:jc w:val="center"/>
    </w:pPr>
    <w:rPr>
      <w:rFonts w:eastAsia="Arial Unicode MS"/>
      <w:b/>
      <w:bCs/>
      <w:sz w:val="28"/>
    </w:rPr>
  </w:style>
  <w:style w:type="character" w:customStyle="1" w:styleId="rvts2">
    <w:name w:val="rvts2"/>
    <w:rPr>
      <w:b/>
      <w:bCs/>
      <w:color w:val="191919"/>
    </w:rPr>
  </w:style>
  <w:style w:type="paragraph" w:styleId="BodyTextIndent2">
    <w:name w:val="Body Text Indent 2"/>
    <w:basedOn w:val="Normal"/>
    <w:semiHidden/>
    <w:pPr>
      <w:spacing w:before="120" w:after="120" w:line="360" w:lineRule="auto"/>
      <w:ind w:firstLine="357"/>
    </w:pPr>
    <w:rPr>
      <w:b/>
      <w:bCs/>
      <w:sz w:val="28"/>
    </w:rPr>
  </w:style>
  <w:style w:type="paragraph" w:styleId="BodyText2">
    <w:name w:val="Body Text 2"/>
    <w:basedOn w:val="Normal"/>
    <w:semiHidden/>
    <w:pPr>
      <w:jc w:val="both"/>
    </w:pPr>
    <w:rPr>
      <w:sz w:val="28"/>
    </w:rPr>
  </w:style>
  <w:style w:type="paragraph" w:styleId="BlockText">
    <w:name w:val="Block Text"/>
    <w:basedOn w:val="Normal"/>
    <w:semiHidden/>
    <w:pPr>
      <w:ind w:left="57" w:right="57"/>
      <w:jc w:val="center"/>
    </w:pPr>
    <w:rPr>
      <w:caps/>
      <w:sz w:val="28"/>
    </w:rPr>
  </w:style>
  <w:style w:type="paragraph" w:styleId="BodyTextIndent">
    <w:name w:val="Body Text Indent"/>
    <w:basedOn w:val="Normal"/>
    <w:link w:val="BodyTextIndentChar"/>
    <w:semiHidden/>
    <w:pPr>
      <w:ind w:firstLine="851"/>
      <w:jc w:val="both"/>
    </w:pPr>
    <w:rPr>
      <w:color w:val="000000"/>
      <w:szCs w:val="20"/>
      <w:lang w:val="x-none" w:eastAsia="x-none"/>
    </w:rPr>
  </w:style>
  <w:style w:type="paragraph" w:styleId="Title">
    <w:name w:val="Title"/>
    <w:basedOn w:val="Normal"/>
    <w:qFormat/>
    <w:pPr>
      <w:spacing w:line="360" w:lineRule="auto"/>
      <w:jc w:val="center"/>
    </w:pPr>
    <w:rPr>
      <w:b/>
      <w:sz w:val="32"/>
      <w:szCs w:val="32"/>
    </w:rPr>
  </w:style>
  <w:style w:type="character" w:customStyle="1" w:styleId="rvts7">
    <w:name w:val="rvts7"/>
    <w:basedOn w:val="DefaultParagraphFont"/>
  </w:style>
  <w:style w:type="character" w:customStyle="1" w:styleId="rvts6">
    <w:name w:val="rvts6"/>
    <w:basedOn w:val="DefaultParagraphFont"/>
  </w:style>
  <w:style w:type="paragraph" w:styleId="BodyTextIndent3">
    <w:name w:val="Body Text Indent 3"/>
    <w:basedOn w:val="Normal"/>
    <w:semiHidden/>
    <w:pPr>
      <w:spacing w:after="120"/>
      <w:ind w:left="283"/>
    </w:pPr>
    <w:rPr>
      <w:sz w:val="16"/>
      <w:szCs w:val="16"/>
    </w:rPr>
  </w:style>
  <w:style w:type="character" w:customStyle="1" w:styleId="rvts8">
    <w:name w:val="rvts8"/>
    <w:basedOn w:val="DefaultParagraphFont"/>
  </w:style>
  <w:style w:type="paragraph" w:styleId="BodyText3">
    <w:name w:val="Body Text 3"/>
    <w:basedOn w:val="Normal"/>
    <w:semiHidden/>
    <w:pPr>
      <w:jc w:val="both"/>
    </w:pPr>
    <w:rPr>
      <w:color w:val="FF0000"/>
      <w:sz w:val="28"/>
    </w:rPr>
  </w:style>
  <w:style w:type="character" w:customStyle="1" w:styleId="rvts14">
    <w:name w:val="rvts14"/>
    <w:basedOn w:val="DefaultParagraphFont"/>
  </w:style>
  <w:style w:type="character" w:styleId="Hyperlink">
    <w:name w:val="Hyperlink"/>
    <w:semiHidden/>
    <w:rPr>
      <w:color w:val="0000FF"/>
      <w:u w:val="single"/>
    </w:rPr>
  </w:style>
  <w:style w:type="character" w:customStyle="1" w:styleId="rvts11">
    <w:name w:val="rvts11"/>
    <w:basedOn w:val="DefaultParagraphFont"/>
  </w:style>
  <w:style w:type="character" w:customStyle="1" w:styleId="rvts9">
    <w:name w:val="rvts9"/>
    <w:rPr>
      <w:rFonts w:ascii="Times New Roman" w:hAnsi="Times New Roman" w:cs="Times New Roman" w:hint="default"/>
      <w:i/>
      <w:iCs/>
      <w:color w:val="008000"/>
      <w:sz w:val="24"/>
      <w:szCs w:val="24"/>
    </w:rPr>
  </w:style>
  <w:style w:type="character" w:customStyle="1" w:styleId="rvts13">
    <w:name w:val="rvts13"/>
    <w:basedOn w:val="DefaultParagraphFont"/>
  </w:style>
  <w:style w:type="paragraph" w:styleId="BalloonText">
    <w:name w:val="Balloon Text"/>
    <w:basedOn w:val="Normal"/>
    <w:semiHidden/>
    <w:rPr>
      <w:rFonts w:ascii="Tahoma" w:hAnsi="Tahoma" w:cs="Tahoma"/>
      <w:sz w:val="16"/>
      <w:szCs w:val="16"/>
    </w:rPr>
  </w:style>
  <w:style w:type="character" w:customStyle="1" w:styleId="rvts5">
    <w:name w:val="rvts5"/>
    <w:basedOn w:val="DefaultParagraphFont"/>
  </w:style>
  <w:style w:type="character" w:customStyle="1" w:styleId="rvts4">
    <w:name w:val="rvts4"/>
    <w:basedOn w:val="DefaultParagraphFont"/>
  </w:style>
  <w:style w:type="character" w:customStyle="1" w:styleId="preambul1">
    <w:name w:val="preambul1"/>
    <w:rPr>
      <w:i/>
      <w:iCs/>
      <w:color w:val="000000"/>
    </w:rPr>
  </w:style>
  <w:style w:type="paragraph" w:customStyle="1" w:styleId="CharCharCharChar">
    <w:name w:val="Char Char Char Char"/>
    <w:basedOn w:val="Normal"/>
    <w:rPr>
      <w:lang w:val="pl-PL" w:eastAsia="pl-PL"/>
    </w:rPr>
  </w:style>
  <w:style w:type="character" w:customStyle="1" w:styleId="alineat">
    <w:name w:val="alineat"/>
    <w:basedOn w:val="DefaultParagraphFont"/>
  </w:style>
  <w:style w:type="character" w:styleId="Strong">
    <w:name w:val="Strong"/>
    <w:uiPriority w:val="22"/>
    <w:qFormat/>
    <w:rPr>
      <w:b/>
      <w:bCs/>
    </w:rPr>
  </w:style>
  <w:style w:type="paragraph" w:customStyle="1" w:styleId="CharCharCharChar0">
    <w:name w:val="Char Char Char Char"/>
    <w:basedOn w:val="Normal"/>
    <w:rPr>
      <w:rFonts w:eastAsia="SimSun"/>
      <w:sz w:val="22"/>
      <w:lang w:val="pl-PL" w:eastAsia="pl-PL"/>
    </w:rPr>
  </w:style>
  <w:style w:type="character" w:customStyle="1" w:styleId="litera1">
    <w:name w:val="litera1"/>
    <w:rPr>
      <w:b/>
      <w:bCs/>
      <w:color w:val="000000"/>
    </w:rPr>
  </w:style>
  <w:style w:type="paragraph" w:styleId="NormalWeb">
    <w:name w:val="Normal (Web)"/>
    <w:aliases w:val="webb, webb"/>
    <w:basedOn w:val="Normal"/>
    <w:uiPriority w:val="99"/>
    <w:pPr>
      <w:spacing w:before="100" w:beforeAutospacing="1" w:after="100" w:afterAutospacing="1"/>
    </w:pPr>
    <w:rPr>
      <w:lang w:val="en-US"/>
    </w:rPr>
  </w:style>
  <w:style w:type="character" w:customStyle="1" w:styleId="rvts12">
    <w:name w:val="rvts12"/>
    <w:basedOn w:val="DefaultParagraphFont"/>
  </w:style>
  <w:style w:type="character" w:styleId="Emphasis">
    <w:name w:val="Emphasis"/>
    <w:qFormat/>
    <w:rPr>
      <w:i/>
      <w:iCs/>
    </w:rPr>
  </w:style>
  <w:style w:type="character" w:styleId="CommentReference">
    <w:name w:val="annotation reference"/>
    <w:rPr>
      <w:sz w:val="16"/>
      <w:szCs w:val="16"/>
    </w:rPr>
  </w:style>
  <w:style w:type="paragraph" w:styleId="CommentText">
    <w:name w:val="annotation text"/>
    <w:basedOn w:val="Normal"/>
    <w:link w:val="CommentTextChar"/>
    <w:rPr>
      <w:sz w:val="20"/>
      <w:szCs w:val="20"/>
      <w:lang w:eastAsia="x-none"/>
    </w:rPr>
  </w:style>
  <w:style w:type="paragraph" w:styleId="FootnoteText">
    <w:name w:val="footnote text"/>
    <w:basedOn w:val="Normal"/>
    <w:semiHidden/>
    <w:unhideWhenUsed/>
    <w:rPr>
      <w:sz w:val="20"/>
      <w:szCs w:val="20"/>
    </w:rPr>
  </w:style>
  <w:style w:type="character" w:customStyle="1" w:styleId="FootnoteTextChar">
    <w:name w:val="Footnote Text Char"/>
    <w:semiHidden/>
    <w:rPr>
      <w:lang w:eastAsia="en-US"/>
    </w:rPr>
  </w:style>
  <w:style w:type="character" w:styleId="FootnoteReference">
    <w:name w:val="footnote reference"/>
    <w:semiHidden/>
    <w:unhideWhenUsed/>
    <w:rPr>
      <w:vertAlign w:val="superscript"/>
    </w:rPr>
  </w:style>
  <w:style w:type="paragraph" w:styleId="Footer">
    <w:name w:val="footer"/>
    <w:basedOn w:val="Normal"/>
    <w:rsid w:val="001C5815"/>
    <w:pPr>
      <w:tabs>
        <w:tab w:val="center" w:pos="4536"/>
        <w:tab w:val="right" w:pos="9072"/>
      </w:tabs>
    </w:pPr>
  </w:style>
  <w:style w:type="character" w:styleId="PageNumber">
    <w:name w:val="page number"/>
    <w:basedOn w:val="DefaultParagraphFont"/>
    <w:rsid w:val="001C5815"/>
  </w:style>
  <w:style w:type="table" w:styleId="TableGrid">
    <w:name w:val="Table Grid"/>
    <w:basedOn w:val="TableNormal"/>
    <w:uiPriority w:val="59"/>
    <w:rsid w:val="00D84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link w:val="BodyTextIndent"/>
    <w:semiHidden/>
    <w:rsid w:val="00FA7459"/>
    <w:rPr>
      <w:color w:val="000000"/>
      <w:sz w:val="24"/>
    </w:rPr>
  </w:style>
  <w:style w:type="paragraph" w:styleId="ListParagraph">
    <w:name w:val="List Paragraph"/>
    <w:basedOn w:val="Normal"/>
    <w:uiPriority w:val="34"/>
    <w:qFormat/>
    <w:rsid w:val="00686BD0"/>
    <w:pPr>
      <w:ind w:left="720"/>
    </w:pPr>
    <w:rPr>
      <w:rFonts w:ascii="Calibri" w:hAnsi="Calibri" w:cs="Calibri"/>
      <w:sz w:val="22"/>
      <w:szCs w:val="22"/>
      <w:lang w:val="en-US"/>
    </w:rPr>
  </w:style>
  <w:style w:type="paragraph" w:styleId="CommentSubject">
    <w:name w:val="annotation subject"/>
    <w:basedOn w:val="CommentText"/>
    <w:next w:val="CommentText"/>
    <w:link w:val="CommentSubjectChar"/>
    <w:uiPriority w:val="99"/>
    <w:semiHidden/>
    <w:unhideWhenUsed/>
    <w:rsid w:val="00536750"/>
    <w:rPr>
      <w:b/>
      <w:bCs/>
    </w:rPr>
  </w:style>
  <w:style w:type="character" w:customStyle="1" w:styleId="CommentTextChar">
    <w:name w:val="Comment Text Char"/>
    <w:link w:val="CommentText"/>
    <w:semiHidden/>
    <w:rsid w:val="00536750"/>
    <w:rPr>
      <w:lang w:val="ro-RO"/>
    </w:rPr>
  </w:style>
  <w:style w:type="character" w:customStyle="1" w:styleId="CommentSubjectChar">
    <w:name w:val="Comment Subject Char"/>
    <w:basedOn w:val="CommentTextChar"/>
    <w:link w:val="CommentSubject"/>
    <w:rsid w:val="00536750"/>
    <w:rPr>
      <w:lang w:val="ro-RO"/>
    </w:rPr>
  </w:style>
  <w:style w:type="paragraph" w:styleId="HTMLPreformatted">
    <w:name w:val="HTML Preformatted"/>
    <w:basedOn w:val="Normal"/>
    <w:link w:val="HTMLPreformattedChar"/>
    <w:uiPriority w:val="99"/>
    <w:unhideWhenUsed/>
    <w:rsid w:val="008F5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link w:val="HTMLPreformatted"/>
    <w:uiPriority w:val="99"/>
    <w:rsid w:val="008F5AD0"/>
    <w:rPr>
      <w:rFonts w:ascii="Courier New" w:hAnsi="Courier New" w:cs="Courier New"/>
    </w:rPr>
  </w:style>
  <w:style w:type="character" w:customStyle="1" w:styleId="apple-converted-space">
    <w:name w:val="apple-converted-space"/>
    <w:rsid w:val="004C7943"/>
  </w:style>
  <w:style w:type="character" w:customStyle="1" w:styleId="Bodytext0">
    <w:name w:val="Body text_"/>
    <w:basedOn w:val="DefaultParagraphFont"/>
    <w:link w:val="BodyText1"/>
    <w:rsid w:val="00C81D90"/>
    <w:rPr>
      <w:rFonts w:ascii="Trebuchet MS" w:eastAsia="Trebuchet MS" w:hAnsi="Trebuchet MS" w:cs="Trebuchet MS"/>
      <w:sz w:val="21"/>
      <w:szCs w:val="21"/>
      <w:shd w:val="clear" w:color="auto" w:fill="FFFFFF"/>
    </w:rPr>
  </w:style>
  <w:style w:type="paragraph" w:customStyle="1" w:styleId="BodyText1">
    <w:name w:val="Body Text1"/>
    <w:basedOn w:val="Normal"/>
    <w:link w:val="Bodytext0"/>
    <w:rsid w:val="00C81D90"/>
    <w:pPr>
      <w:shd w:val="clear" w:color="auto" w:fill="FFFFFF"/>
      <w:spacing w:before="240" w:after="60" w:line="250" w:lineRule="exact"/>
    </w:pPr>
    <w:rPr>
      <w:rFonts w:ascii="Trebuchet MS" w:eastAsia="Trebuchet MS" w:hAnsi="Trebuchet MS" w:cs="Trebuchet MS"/>
      <w:sz w:val="21"/>
      <w:szCs w:val="21"/>
      <w:lang w:val="en-US"/>
    </w:rPr>
  </w:style>
  <w:style w:type="paragraph" w:styleId="NoSpacing">
    <w:name w:val="No Spacing"/>
    <w:link w:val="NoSpacingChar"/>
    <w:qFormat/>
    <w:rsid w:val="00C81D90"/>
    <w:rPr>
      <w:rFonts w:ascii="Calibri" w:eastAsia="Calibri" w:hAnsi="Calibri"/>
      <w:sz w:val="22"/>
      <w:szCs w:val="22"/>
    </w:rPr>
  </w:style>
  <w:style w:type="character" w:customStyle="1" w:styleId="NoSpacingChar">
    <w:name w:val="No Spacing Char"/>
    <w:link w:val="NoSpacing"/>
    <w:locked/>
    <w:rsid w:val="00C81D90"/>
    <w:rPr>
      <w:rFonts w:ascii="Calibri" w:eastAsia="Calibri" w:hAnsi="Calibri"/>
      <w:sz w:val="22"/>
      <w:szCs w:val="22"/>
    </w:rPr>
  </w:style>
  <w:style w:type="character" w:customStyle="1" w:styleId="do1">
    <w:name w:val="do1"/>
    <w:rsid w:val="00C74A16"/>
    <w:rPr>
      <w:b/>
      <w:bCs/>
      <w:sz w:val="26"/>
      <w:szCs w:val="26"/>
    </w:rPr>
  </w:style>
  <w:style w:type="character" w:customStyle="1" w:styleId="panchor">
    <w:name w:val="panchor"/>
    <w:basedOn w:val="DefaultParagraphFont"/>
    <w:rsid w:val="001F5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93852">
      <w:bodyDiv w:val="1"/>
      <w:marLeft w:val="0"/>
      <w:marRight w:val="0"/>
      <w:marTop w:val="0"/>
      <w:marBottom w:val="0"/>
      <w:divBdr>
        <w:top w:val="none" w:sz="0" w:space="0" w:color="auto"/>
        <w:left w:val="none" w:sz="0" w:space="0" w:color="auto"/>
        <w:bottom w:val="none" w:sz="0" w:space="0" w:color="auto"/>
        <w:right w:val="none" w:sz="0" w:space="0" w:color="auto"/>
      </w:divBdr>
    </w:div>
    <w:div w:id="216670153">
      <w:bodyDiv w:val="1"/>
      <w:marLeft w:val="0"/>
      <w:marRight w:val="0"/>
      <w:marTop w:val="0"/>
      <w:marBottom w:val="0"/>
      <w:divBdr>
        <w:top w:val="none" w:sz="0" w:space="0" w:color="auto"/>
        <w:left w:val="none" w:sz="0" w:space="0" w:color="auto"/>
        <w:bottom w:val="none" w:sz="0" w:space="0" w:color="auto"/>
        <w:right w:val="none" w:sz="0" w:space="0" w:color="auto"/>
      </w:divBdr>
    </w:div>
    <w:div w:id="239993951">
      <w:bodyDiv w:val="1"/>
      <w:marLeft w:val="0"/>
      <w:marRight w:val="0"/>
      <w:marTop w:val="0"/>
      <w:marBottom w:val="0"/>
      <w:divBdr>
        <w:top w:val="none" w:sz="0" w:space="0" w:color="auto"/>
        <w:left w:val="none" w:sz="0" w:space="0" w:color="auto"/>
        <w:bottom w:val="none" w:sz="0" w:space="0" w:color="auto"/>
        <w:right w:val="none" w:sz="0" w:space="0" w:color="auto"/>
      </w:divBdr>
    </w:div>
    <w:div w:id="302199697">
      <w:bodyDiv w:val="1"/>
      <w:marLeft w:val="0"/>
      <w:marRight w:val="0"/>
      <w:marTop w:val="0"/>
      <w:marBottom w:val="0"/>
      <w:divBdr>
        <w:top w:val="none" w:sz="0" w:space="0" w:color="auto"/>
        <w:left w:val="none" w:sz="0" w:space="0" w:color="auto"/>
        <w:bottom w:val="none" w:sz="0" w:space="0" w:color="auto"/>
        <w:right w:val="none" w:sz="0" w:space="0" w:color="auto"/>
      </w:divBdr>
    </w:div>
    <w:div w:id="657728792">
      <w:bodyDiv w:val="1"/>
      <w:marLeft w:val="0"/>
      <w:marRight w:val="0"/>
      <w:marTop w:val="0"/>
      <w:marBottom w:val="0"/>
      <w:divBdr>
        <w:top w:val="none" w:sz="0" w:space="0" w:color="auto"/>
        <w:left w:val="none" w:sz="0" w:space="0" w:color="auto"/>
        <w:bottom w:val="none" w:sz="0" w:space="0" w:color="auto"/>
        <w:right w:val="none" w:sz="0" w:space="0" w:color="auto"/>
      </w:divBdr>
    </w:div>
    <w:div w:id="691031421">
      <w:bodyDiv w:val="1"/>
      <w:marLeft w:val="0"/>
      <w:marRight w:val="0"/>
      <w:marTop w:val="0"/>
      <w:marBottom w:val="0"/>
      <w:divBdr>
        <w:top w:val="none" w:sz="0" w:space="0" w:color="auto"/>
        <w:left w:val="none" w:sz="0" w:space="0" w:color="auto"/>
        <w:bottom w:val="none" w:sz="0" w:space="0" w:color="auto"/>
        <w:right w:val="none" w:sz="0" w:space="0" w:color="auto"/>
      </w:divBdr>
    </w:div>
    <w:div w:id="718093642">
      <w:bodyDiv w:val="1"/>
      <w:marLeft w:val="0"/>
      <w:marRight w:val="0"/>
      <w:marTop w:val="0"/>
      <w:marBottom w:val="0"/>
      <w:divBdr>
        <w:top w:val="none" w:sz="0" w:space="0" w:color="auto"/>
        <w:left w:val="none" w:sz="0" w:space="0" w:color="auto"/>
        <w:bottom w:val="none" w:sz="0" w:space="0" w:color="auto"/>
        <w:right w:val="none" w:sz="0" w:space="0" w:color="auto"/>
      </w:divBdr>
    </w:div>
    <w:div w:id="782846995">
      <w:bodyDiv w:val="1"/>
      <w:marLeft w:val="0"/>
      <w:marRight w:val="0"/>
      <w:marTop w:val="0"/>
      <w:marBottom w:val="0"/>
      <w:divBdr>
        <w:top w:val="none" w:sz="0" w:space="0" w:color="auto"/>
        <w:left w:val="none" w:sz="0" w:space="0" w:color="auto"/>
        <w:bottom w:val="none" w:sz="0" w:space="0" w:color="auto"/>
        <w:right w:val="none" w:sz="0" w:space="0" w:color="auto"/>
      </w:divBdr>
    </w:div>
    <w:div w:id="1161191182">
      <w:bodyDiv w:val="1"/>
      <w:marLeft w:val="0"/>
      <w:marRight w:val="0"/>
      <w:marTop w:val="0"/>
      <w:marBottom w:val="0"/>
      <w:divBdr>
        <w:top w:val="none" w:sz="0" w:space="0" w:color="auto"/>
        <w:left w:val="none" w:sz="0" w:space="0" w:color="auto"/>
        <w:bottom w:val="none" w:sz="0" w:space="0" w:color="auto"/>
        <w:right w:val="none" w:sz="0" w:space="0" w:color="auto"/>
      </w:divBdr>
    </w:div>
    <w:div w:id="1299913339">
      <w:bodyDiv w:val="1"/>
      <w:marLeft w:val="0"/>
      <w:marRight w:val="0"/>
      <w:marTop w:val="0"/>
      <w:marBottom w:val="0"/>
      <w:divBdr>
        <w:top w:val="none" w:sz="0" w:space="0" w:color="auto"/>
        <w:left w:val="none" w:sz="0" w:space="0" w:color="auto"/>
        <w:bottom w:val="none" w:sz="0" w:space="0" w:color="auto"/>
        <w:right w:val="none" w:sz="0" w:space="0" w:color="auto"/>
      </w:divBdr>
    </w:div>
    <w:div w:id="1380398045">
      <w:bodyDiv w:val="1"/>
      <w:marLeft w:val="0"/>
      <w:marRight w:val="0"/>
      <w:marTop w:val="0"/>
      <w:marBottom w:val="0"/>
      <w:divBdr>
        <w:top w:val="none" w:sz="0" w:space="0" w:color="auto"/>
        <w:left w:val="none" w:sz="0" w:space="0" w:color="auto"/>
        <w:bottom w:val="none" w:sz="0" w:space="0" w:color="auto"/>
        <w:right w:val="none" w:sz="0" w:space="0" w:color="auto"/>
      </w:divBdr>
    </w:div>
    <w:div w:id="1489519839">
      <w:bodyDiv w:val="1"/>
      <w:marLeft w:val="0"/>
      <w:marRight w:val="0"/>
      <w:marTop w:val="0"/>
      <w:marBottom w:val="0"/>
      <w:divBdr>
        <w:top w:val="none" w:sz="0" w:space="0" w:color="auto"/>
        <w:left w:val="none" w:sz="0" w:space="0" w:color="auto"/>
        <w:bottom w:val="none" w:sz="0" w:space="0" w:color="auto"/>
        <w:right w:val="none" w:sz="0" w:space="0" w:color="auto"/>
      </w:divBdr>
    </w:div>
    <w:div w:id="1498113214">
      <w:bodyDiv w:val="1"/>
      <w:marLeft w:val="0"/>
      <w:marRight w:val="0"/>
      <w:marTop w:val="0"/>
      <w:marBottom w:val="0"/>
      <w:divBdr>
        <w:top w:val="none" w:sz="0" w:space="0" w:color="auto"/>
        <w:left w:val="none" w:sz="0" w:space="0" w:color="auto"/>
        <w:bottom w:val="none" w:sz="0" w:space="0" w:color="auto"/>
        <w:right w:val="none" w:sz="0" w:space="0" w:color="auto"/>
      </w:divBdr>
    </w:div>
    <w:div w:id="1582252090">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689215177">
      <w:bodyDiv w:val="1"/>
      <w:marLeft w:val="0"/>
      <w:marRight w:val="0"/>
      <w:marTop w:val="0"/>
      <w:marBottom w:val="0"/>
      <w:divBdr>
        <w:top w:val="none" w:sz="0" w:space="0" w:color="auto"/>
        <w:left w:val="none" w:sz="0" w:space="0" w:color="auto"/>
        <w:bottom w:val="none" w:sz="0" w:space="0" w:color="auto"/>
        <w:right w:val="none" w:sz="0" w:space="0" w:color="auto"/>
      </w:divBdr>
    </w:div>
    <w:div w:id="1966501652">
      <w:bodyDiv w:val="1"/>
      <w:marLeft w:val="0"/>
      <w:marRight w:val="0"/>
      <w:marTop w:val="0"/>
      <w:marBottom w:val="0"/>
      <w:divBdr>
        <w:top w:val="none" w:sz="0" w:space="0" w:color="auto"/>
        <w:left w:val="none" w:sz="0" w:space="0" w:color="auto"/>
        <w:bottom w:val="none" w:sz="0" w:space="0" w:color="auto"/>
        <w:right w:val="none" w:sz="0" w:space="0" w:color="auto"/>
      </w:divBdr>
    </w:div>
    <w:div w:id="198739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12D19-A411-44DC-81A4-B89902D9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1797</Words>
  <Characters>10248</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NOTĂ DE  FUNDAMENTARE</vt:lpstr>
      <vt:lpstr>NOTĂ DE  FUNDAMENTARE</vt:lpstr>
    </vt:vector>
  </TitlesOfParts>
  <Company>MDLPL</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Admin</dc:creator>
  <cp:lastModifiedBy>Consuela Stegarescu</cp:lastModifiedBy>
  <cp:revision>3</cp:revision>
  <cp:lastPrinted>2021-04-08T10:19:00Z</cp:lastPrinted>
  <dcterms:created xsi:type="dcterms:W3CDTF">2021-04-14T08:20:00Z</dcterms:created>
  <dcterms:modified xsi:type="dcterms:W3CDTF">2021-04-14T08:27:00Z</dcterms:modified>
</cp:coreProperties>
</file>